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B4" w:rsidRPr="00EE4187" w:rsidRDefault="007C64B4" w:rsidP="007C64B4">
      <w:pPr>
        <w:pStyle w:val="Textedebulles"/>
        <w:rPr>
          <w:rStyle w:val="Accentuation"/>
        </w:rPr>
      </w:pPr>
    </w:p>
    <w:p w:rsidR="007C64B4" w:rsidRPr="00B92FA1" w:rsidRDefault="007C64B4" w:rsidP="007C64B4">
      <w:pPr>
        <w:pStyle w:val="Textedebulles"/>
        <w:rPr>
          <w:lang w:val="en-GB"/>
        </w:rPr>
      </w:pPr>
    </w:p>
    <w:p w:rsidR="007C64B4" w:rsidRPr="00B92FA1" w:rsidRDefault="007C64B4" w:rsidP="007C64B4">
      <w:pPr>
        <w:pStyle w:val="Textedebulles"/>
        <w:rPr>
          <w:lang w:val="en-GB"/>
        </w:rPr>
      </w:pPr>
    </w:p>
    <w:p w:rsidR="007C64B4" w:rsidRPr="00B92FA1" w:rsidRDefault="007C64B4" w:rsidP="007C64B4">
      <w:pPr>
        <w:pStyle w:val="Textedebulles"/>
        <w:rPr>
          <w:lang w:val="en-GB"/>
        </w:rPr>
      </w:pPr>
    </w:p>
    <w:p w:rsidR="007C64B4" w:rsidRPr="00B92FA1" w:rsidRDefault="007C64B4" w:rsidP="007C64B4">
      <w:pPr>
        <w:pStyle w:val="Textedebulles"/>
        <w:rPr>
          <w:lang w:val="en-GB"/>
        </w:rPr>
      </w:pPr>
    </w:p>
    <w:p w:rsidR="007C64B4" w:rsidRPr="00B92FA1" w:rsidRDefault="00E9248A" w:rsidP="00E9248A">
      <w:pPr>
        <w:pStyle w:val="Textedebulles"/>
        <w:tabs>
          <w:tab w:val="left" w:pos="1175"/>
        </w:tabs>
        <w:rPr>
          <w:lang w:val="en-GB"/>
        </w:rPr>
      </w:pPr>
      <w:r>
        <w:rPr>
          <w:lang w:val="en-GB"/>
        </w:rPr>
        <w:tab/>
      </w:r>
    </w:p>
    <w:p w:rsidR="007C64B4" w:rsidRPr="00B92FA1" w:rsidRDefault="007C64B4" w:rsidP="007C64B4">
      <w:pPr>
        <w:pStyle w:val="Textedebulles"/>
        <w:rPr>
          <w:lang w:val="en-GB"/>
        </w:rPr>
      </w:pPr>
    </w:p>
    <w:p w:rsidR="007C64B4" w:rsidRPr="00B92FA1" w:rsidRDefault="007C64B4" w:rsidP="007C64B4">
      <w:pPr>
        <w:spacing w:line="360" w:lineRule="auto"/>
        <w:jc w:val="center"/>
        <w:rPr>
          <w:lang w:val="en-GB"/>
        </w:rPr>
      </w:pPr>
    </w:p>
    <w:p w:rsidR="007C64B4" w:rsidRPr="00B92FA1" w:rsidRDefault="007C64B4" w:rsidP="007C64B4">
      <w:pPr>
        <w:spacing w:line="360" w:lineRule="auto"/>
        <w:jc w:val="center"/>
        <w:rPr>
          <w:rFonts w:eastAsia="Calibri"/>
          <w:b/>
          <w:bCs/>
          <w:color w:val="000000" w:themeColor="text1"/>
          <w:sz w:val="28"/>
          <w:szCs w:val="28"/>
          <w:lang w:val="en-GB" w:eastAsia="en-US"/>
        </w:rPr>
      </w:pPr>
      <w:r w:rsidRPr="00B92FA1">
        <w:rPr>
          <w:rFonts w:eastAsia="Calibri"/>
          <w:b/>
          <w:bCs/>
          <w:color w:val="000000" w:themeColor="text1"/>
          <w:sz w:val="28"/>
          <w:szCs w:val="28"/>
          <w:lang w:val="en-GB" w:eastAsia="en-US"/>
        </w:rPr>
        <w:t>Independent Regulators’ Group – Rail</w:t>
      </w:r>
      <w:r w:rsidRPr="00B92FA1">
        <w:rPr>
          <w:rFonts w:eastAsia="Calibri"/>
          <w:b/>
          <w:bCs/>
          <w:color w:val="000000" w:themeColor="text1"/>
          <w:sz w:val="28"/>
          <w:szCs w:val="28"/>
          <w:lang w:val="en-GB" w:eastAsia="en-US"/>
        </w:rPr>
        <w:br/>
      </w:r>
      <w:bookmarkStart w:id="0" w:name="_GoBack"/>
      <w:bookmarkEnd w:id="0"/>
      <w:r w:rsidRPr="00B92FA1">
        <w:rPr>
          <w:rFonts w:eastAsia="Calibri"/>
          <w:b/>
          <w:bCs/>
          <w:color w:val="000000" w:themeColor="text1"/>
          <w:sz w:val="28"/>
          <w:szCs w:val="28"/>
          <w:lang w:val="en-GB" w:eastAsia="en-US"/>
        </w:rPr>
        <w:t>IRG–Rail</w:t>
      </w:r>
      <w:r w:rsidRPr="00B92FA1">
        <w:rPr>
          <w:rFonts w:eastAsia="Calibri"/>
          <w:b/>
          <w:bCs/>
          <w:color w:val="000000" w:themeColor="text1"/>
          <w:sz w:val="28"/>
          <w:szCs w:val="28"/>
          <w:lang w:val="en-GB" w:eastAsia="en-US"/>
        </w:rPr>
        <w:br/>
        <w:t xml:space="preserve">Subgroup </w:t>
      </w:r>
      <w:r>
        <w:rPr>
          <w:rFonts w:eastAsia="Calibri"/>
          <w:b/>
          <w:bCs/>
          <w:color w:val="000000" w:themeColor="text1"/>
          <w:sz w:val="28"/>
          <w:szCs w:val="28"/>
          <w:lang w:val="en-GB" w:eastAsia="en-US"/>
        </w:rPr>
        <w:t xml:space="preserve">Charges </w:t>
      </w:r>
      <w:r w:rsidRPr="00B92FA1">
        <w:rPr>
          <w:rFonts w:eastAsia="Calibri"/>
          <w:b/>
          <w:bCs/>
          <w:color w:val="000000" w:themeColor="text1"/>
          <w:sz w:val="28"/>
          <w:szCs w:val="28"/>
          <w:lang w:val="en-GB" w:eastAsia="en-US"/>
        </w:rPr>
        <w:t xml:space="preserve">for </w:t>
      </w:r>
      <w:r>
        <w:rPr>
          <w:rFonts w:eastAsia="Calibri"/>
          <w:b/>
          <w:bCs/>
          <w:color w:val="000000" w:themeColor="text1"/>
          <w:sz w:val="28"/>
          <w:szCs w:val="28"/>
          <w:lang w:val="en-GB" w:eastAsia="en-US"/>
        </w:rPr>
        <w:t>S</w:t>
      </w:r>
      <w:r w:rsidRPr="00B92FA1">
        <w:rPr>
          <w:rFonts w:eastAsia="Calibri"/>
          <w:b/>
          <w:bCs/>
          <w:color w:val="000000" w:themeColor="text1"/>
          <w:sz w:val="28"/>
          <w:szCs w:val="28"/>
          <w:lang w:val="en-GB" w:eastAsia="en-US"/>
        </w:rPr>
        <w:t xml:space="preserve">ervice </w:t>
      </w:r>
      <w:r>
        <w:rPr>
          <w:rFonts w:eastAsia="Calibri"/>
          <w:b/>
          <w:bCs/>
          <w:color w:val="000000" w:themeColor="text1"/>
          <w:sz w:val="28"/>
          <w:szCs w:val="28"/>
          <w:lang w:val="en-GB" w:eastAsia="en-US"/>
        </w:rPr>
        <w:t>F</w:t>
      </w:r>
      <w:r w:rsidRPr="00B92FA1">
        <w:rPr>
          <w:rFonts w:eastAsia="Calibri"/>
          <w:b/>
          <w:bCs/>
          <w:color w:val="000000" w:themeColor="text1"/>
          <w:sz w:val="28"/>
          <w:szCs w:val="28"/>
          <w:lang w:val="en-GB" w:eastAsia="en-US"/>
        </w:rPr>
        <w:t>acilities</w:t>
      </w:r>
    </w:p>
    <w:p w:rsidR="007C64B4" w:rsidRPr="00B92FA1" w:rsidRDefault="007C64B4" w:rsidP="007C64B4">
      <w:pPr>
        <w:spacing w:line="360" w:lineRule="auto"/>
        <w:jc w:val="center"/>
        <w:rPr>
          <w:rFonts w:eastAsia="Calibri"/>
          <w:b/>
          <w:bCs/>
          <w:iCs/>
          <w:color w:val="000000"/>
          <w:sz w:val="28"/>
          <w:szCs w:val="28"/>
          <w:lang w:val="en-GB" w:eastAsia="en-US"/>
        </w:rPr>
      </w:pPr>
    </w:p>
    <w:p w:rsidR="007C64B4" w:rsidRPr="00B92FA1" w:rsidRDefault="007C64B4" w:rsidP="007C64B4">
      <w:pPr>
        <w:spacing w:line="360" w:lineRule="auto"/>
        <w:jc w:val="center"/>
        <w:rPr>
          <w:rFonts w:eastAsia="Calibri"/>
          <w:b/>
          <w:bCs/>
          <w:iCs/>
          <w:color w:val="000000"/>
          <w:sz w:val="28"/>
          <w:szCs w:val="28"/>
          <w:lang w:val="en-GB" w:eastAsia="en-US"/>
        </w:rPr>
      </w:pPr>
    </w:p>
    <w:p w:rsidR="007C64B4" w:rsidRPr="00B92FA1" w:rsidRDefault="007C64B4" w:rsidP="007C64B4">
      <w:pPr>
        <w:spacing w:line="360" w:lineRule="auto"/>
        <w:jc w:val="center"/>
        <w:rPr>
          <w:rFonts w:eastAsia="Calibri"/>
          <w:b/>
          <w:bCs/>
          <w:sz w:val="28"/>
          <w:szCs w:val="28"/>
          <w:lang w:val="en-GB" w:eastAsia="en-US"/>
        </w:rPr>
      </w:pPr>
      <w:r>
        <w:rPr>
          <w:rFonts w:eastAsia="Calibri"/>
          <w:b/>
          <w:bCs/>
          <w:sz w:val="28"/>
          <w:szCs w:val="28"/>
          <w:lang w:val="en-GB" w:eastAsia="en-US"/>
        </w:rPr>
        <w:t>An overview of</w:t>
      </w:r>
    </w:p>
    <w:p w:rsidR="007C64B4" w:rsidRPr="00B92FA1" w:rsidRDefault="007C64B4" w:rsidP="007C64B4">
      <w:pPr>
        <w:spacing w:line="360" w:lineRule="auto"/>
        <w:jc w:val="center"/>
        <w:rPr>
          <w:rFonts w:eastAsia="Calibri"/>
          <w:b/>
          <w:sz w:val="28"/>
          <w:szCs w:val="28"/>
          <w:lang w:val="en-GB" w:eastAsia="en-US"/>
        </w:rPr>
      </w:pPr>
    </w:p>
    <w:p w:rsidR="007C64B4" w:rsidRPr="00B92FA1" w:rsidRDefault="007C64B4" w:rsidP="007C64B4">
      <w:pPr>
        <w:spacing w:line="360" w:lineRule="auto"/>
        <w:jc w:val="center"/>
        <w:rPr>
          <w:rFonts w:eastAsia="Calibri"/>
          <w:b/>
          <w:bCs/>
          <w:color w:val="000000"/>
          <w:sz w:val="28"/>
          <w:szCs w:val="28"/>
          <w:lang w:val="en-GB" w:eastAsia="en-US"/>
        </w:rPr>
      </w:pPr>
      <w:r w:rsidRPr="00B92FA1">
        <w:rPr>
          <w:rFonts w:eastAsia="Calibri"/>
          <w:b/>
          <w:bCs/>
          <w:color w:val="000000" w:themeColor="text1"/>
          <w:sz w:val="28"/>
          <w:szCs w:val="28"/>
          <w:lang w:val="en-GB" w:eastAsia="en-US"/>
        </w:rPr>
        <w:t>Charg</w:t>
      </w:r>
      <w:r>
        <w:rPr>
          <w:rFonts w:eastAsia="Calibri"/>
          <w:b/>
          <w:bCs/>
          <w:color w:val="000000" w:themeColor="text1"/>
          <w:sz w:val="28"/>
          <w:szCs w:val="28"/>
          <w:lang w:val="en-GB" w:eastAsia="en-US"/>
        </w:rPr>
        <w:t>ing</w:t>
      </w:r>
      <w:r w:rsidRPr="00B92FA1">
        <w:rPr>
          <w:rFonts w:eastAsia="Calibri"/>
          <w:b/>
          <w:bCs/>
          <w:color w:val="000000" w:themeColor="text1"/>
          <w:sz w:val="28"/>
          <w:szCs w:val="28"/>
          <w:lang w:val="en-GB" w:eastAsia="en-US"/>
        </w:rPr>
        <w:t xml:space="preserve"> pr</w:t>
      </w:r>
      <w:r>
        <w:rPr>
          <w:rFonts w:eastAsia="Calibri"/>
          <w:b/>
          <w:bCs/>
          <w:color w:val="000000" w:themeColor="text1"/>
          <w:sz w:val="28"/>
          <w:szCs w:val="28"/>
          <w:lang w:val="en-GB" w:eastAsia="en-US"/>
        </w:rPr>
        <w:t>actices</w:t>
      </w:r>
      <w:r w:rsidRPr="00B92FA1">
        <w:rPr>
          <w:rFonts w:eastAsia="Calibri"/>
          <w:b/>
          <w:bCs/>
          <w:color w:val="000000" w:themeColor="text1"/>
          <w:sz w:val="28"/>
          <w:szCs w:val="28"/>
          <w:lang w:val="en-GB" w:eastAsia="en-US"/>
        </w:rPr>
        <w:t xml:space="preserve"> for </w:t>
      </w:r>
      <w:r>
        <w:rPr>
          <w:rFonts w:eastAsia="Calibri"/>
          <w:b/>
          <w:bCs/>
          <w:color w:val="000000" w:themeColor="text1"/>
          <w:sz w:val="28"/>
          <w:szCs w:val="28"/>
          <w:lang w:val="en-GB" w:eastAsia="en-US"/>
        </w:rPr>
        <w:t xml:space="preserve">access to </w:t>
      </w:r>
      <w:r w:rsidRPr="00B92FA1">
        <w:rPr>
          <w:rFonts w:eastAsia="Calibri"/>
          <w:b/>
          <w:bCs/>
          <w:color w:val="000000" w:themeColor="text1"/>
          <w:sz w:val="28"/>
          <w:szCs w:val="28"/>
          <w:lang w:val="en-GB" w:eastAsia="en-US"/>
        </w:rPr>
        <w:t>service facilities</w:t>
      </w:r>
      <w:r>
        <w:rPr>
          <w:rFonts w:eastAsia="Calibri"/>
          <w:b/>
          <w:bCs/>
          <w:color w:val="000000" w:themeColor="text1"/>
          <w:sz w:val="28"/>
          <w:szCs w:val="28"/>
          <w:lang w:val="en-GB" w:eastAsia="en-US"/>
        </w:rPr>
        <w:t xml:space="preserve"> and rail-related services in the IRG-Rail member states</w:t>
      </w:r>
    </w:p>
    <w:p w:rsidR="007C64B4" w:rsidRPr="00B92FA1" w:rsidRDefault="007C64B4" w:rsidP="007C64B4">
      <w:pPr>
        <w:spacing w:line="360" w:lineRule="auto"/>
        <w:jc w:val="center"/>
        <w:rPr>
          <w:rFonts w:eastAsia="Calibri"/>
          <w:b/>
          <w:bCs/>
          <w:color w:val="000000"/>
          <w:sz w:val="28"/>
          <w:szCs w:val="28"/>
          <w:lang w:val="en-GB" w:eastAsia="en-US"/>
        </w:rPr>
      </w:pPr>
    </w:p>
    <w:p w:rsidR="007C64B4" w:rsidRPr="00B92FA1" w:rsidRDefault="007C64B4" w:rsidP="007C64B4">
      <w:pPr>
        <w:spacing w:line="360" w:lineRule="auto"/>
        <w:jc w:val="center"/>
        <w:rPr>
          <w:rFonts w:eastAsia="Calibri"/>
          <w:b/>
          <w:bCs/>
          <w:color w:val="000000" w:themeColor="text1"/>
          <w:sz w:val="28"/>
          <w:szCs w:val="28"/>
          <w:lang w:val="en-GB" w:eastAsia="en-US"/>
        </w:rPr>
      </w:pPr>
      <w:r>
        <w:rPr>
          <w:rFonts w:eastAsia="Calibri"/>
          <w:b/>
          <w:bCs/>
          <w:color w:val="000000" w:themeColor="text1"/>
          <w:sz w:val="28"/>
          <w:szCs w:val="28"/>
          <w:lang w:val="en-GB" w:eastAsia="en-US"/>
        </w:rPr>
        <w:t>27</w:t>
      </w:r>
      <w:r w:rsidRPr="00B92FA1">
        <w:rPr>
          <w:rFonts w:eastAsia="Calibri"/>
          <w:b/>
          <w:bCs/>
          <w:color w:val="000000" w:themeColor="text1"/>
          <w:sz w:val="28"/>
          <w:szCs w:val="28"/>
          <w:lang w:val="en-GB" w:eastAsia="en-US"/>
        </w:rPr>
        <w:t xml:space="preserve"> November 2017</w:t>
      </w:r>
    </w:p>
    <w:p w:rsidR="007C64B4" w:rsidRPr="00B92FA1" w:rsidRDefault="007C64B4" w:rsidP="007C64B4">
      <w:pPr>
        <w:suppressAutoHyphens/>
        <w:spacing w:after="200" w:line="276" w:lineRule="auto"/>
        <w:jc w:val="center"/>
        <w:rPr>
          <w:rFonts w:eastAsia="Calibri"/>
          <w:b/>
          <w:bCs/>
          <w:i/>
          <w:sz w:val="28"/>
          <w:szCs w:val="28"/>
          <w:lang w:val="en-GB" w:eastAsia="en-US"/>
        </w:rPr>
      </w:pPr>
    </w:p>
    <w:p w:rsidR="007C64B4" w:rsidRDefault="007C64B4" w:rsidP="007C64B4">
      <w:pPr>
        <w:suppressAutoHyphens/>
        <w:spacing w:after="200" w:line="276" w:lineRule="auto"/>
        <w:jc w:val="center"/>
        <w:rPr>
          <w:rFonts w:eastAsia="Calibri"/>
          <w:b/>
          <w:bCs/>
          <w:sz w:val="22"/>
          <w:szCs w:val="22"/>
          <w:lang w:val="en-GB" w:eastAsia="en-US"/>
        </w:rPr>
      </w:pPr>
    </w:p>
    <w:p w:rsidR="007C64B4" w:rsidRPr="00294D75" w:rsidRDefault="007C64B4" w:rsidP="007C64B4">
      <w:pPr>
        <w:pBdr>
          <w:top w:val="single" w:sz="4" w:space="1" w:color="auto"/>
          <w:left w:val="single" w:sz="4" w:space="4" w:color="auto"/>
          <w:bottom w:val="single" w:sz="4" w:space="1" w:color="auto"/>
          <w:right w:val="single" w:sz="4" w:space="4" w:color="auto"/>
        </w:pBdr>
        <w:shd w:val="clear" w:color="auto" w:fill="A6A6A6" w:themeFill="background1" w:themeFillShade="A6"/>
        <w:ind w:left="1134" w:right="1132"/>
        <w:jc w:val="both"/>
        <w:rPr>
          <w:color w:val="000000"/>
          <w:u w:val="single"/>
          <w:lang w:val="en-US"/>
        </w:rPr>
      </w:pPr>
      <w:r w:rsidRPr="00294D75">
        <w:rPr>
          <w:color w:val="000000"/>
          <w:u w:val="single"/>
          <w:lang w:val="en-US"/>
        </w:rPr>
        <w:t>Introductory remark</w:t>
      </w:r>
      <w:r>
        <w:rPr>
          <w:color w:val="000000"/>
          <w:u w:val="single"/>
          <w:lang w:val="en-US"/>
        </w:rPr>
        <w:t>s</w:t>
      </w:r>
    </w:p>
    <w:p w:rsidR="007C64B4" w:rsidRPr="00294D75" w:rsidRDefault="007C64B4" w:rsidP="007C64B4">
      <w:pPr>
        <w:pBdr>
          <w:top w:val="single" w:sz="4" w:space="1" w:color="auto"/>
          <w:left w:val="single" w:sz="4" w:space="4" w:color="auto"/>
          <w:bottom w:val="single" w:sz="4" w:space="1" w:color="auto"/>
          <w:right w:val="single" w:sz="4" w:space="4" w:color="auto"/>
        </w:pBdr>
        <w:shd w:val="clear" w:color="auto" w:fill="A6A6A6" w:themeFill="background1" w:themeFillShade="A6"/>
        <w:ind w:left="1134" w:right="1132"/>
        <w:jc w:val="both"/>
        <w:rPr>
          <w:color w:val="000000"/>
          <w:lang w:val="en-US"/>
        </w:rPr>
      </w:pPr>
      <w:r w:rsidRPr="00294D75">
        <w:rPr>
          <w:color w:val="000000"/>
          <w:lang w:val="en-US"/>
        </w:rPr>
        <w:t>This overview document covers the following countries who are members of IRG-Rail:</w:t>
      </w:r>
      <w:r>
        <w:rPr>
          <w:color w:val="000000"/>
          <w:lang w:val="en-US"/>
        </w:rPr>
        <w:t xml:space="preserve"> </w:t>
      </w:r>
      <w:r w:rsidRPr="002B6AA7">
        <w:rPr>
          <w:b/>
          <w:color w:val="000000"/>
          <w:lang w:val="en-US"/>
        </w:rPr>
        <w:t>Austria, Belgium, Bulgaria, Croatia, Finland, France, Germany, Greece, Hungary, Italy, Norway, Poland, Portugal, Romania, Slovenia, Spain, Sweden and the United Kingdom</w:t>
      </w:r>
      <w:r w:rsidRPr="00294D75">
        <w:rPr>
          <w:color w:val="000000"/>
          <w:lang w:val="en-US"/>
        </w:rPr>
        <w:t>.</w:t>
      </w:r>
      <w:r>
        <w:rPr>
          <w:color w:val="000000"/>
          <w:lang w:val="en-US"/>
        </w:rPr>
        <w:t xml:space="preserve"> </w:t>
      </w:r>
      <w:r w:rsidRPr="00294D75">
        <w:rPr>
          <w:color w:val="000000"/>
          <w:lang w:val="en-US"/>
        </w:rPr>
        <w:t xml:space="preserve">The IRG-Rail working subgroup “Charges for service facilities” </w:t>
      </w:r>
      <w:r>
        <w:rPr>
          <w:color w:val="000000"/>
          <w:lang w:val="en-US"/>
        </w:rPr>
        <w:t xml:space="preserve">created </w:t>
      </w:r>
      <w:r w:rsidRPr="00294D75">
        <w:rPr>
          <w:color w:val="000000"/>
          <w:lang w:val="en-US"/>
        </w:rPr>
        <w:t>this document to</w:t>
      </w:r>
      <w:r>
        <w:rPr>
          <w:color w:val="000000"/>
          <w:lang w:val="en-US"/>
        </w:rPr>
        <w:t xml:space="preserve"> provide</w:t>
      </w:r>
      <w:r w:rsidRPr="00294D75">
        <w:rPr>
          <w:color w:val="000000"/>
          <w:lang w:val="en-US"/>
        </w:rPr>
        <w:t xml:space="preserve"> an overview of charging practices for passenger stations, intermodal freight terminals, </w:t>
      </w:r>
      <w:proofErr w:type="spellStart"/>
      <w:r w:rsidRPr="00294D75">
        <w:rPr>
          <w:color w:val="000000"/>
          <w:lang w:val="en-US"/>
        </w:rPr>
        <w:t>marshalling</w:t>
      </w:r>
      <w:proofErr w:type="spellEnd"/>
      <w:r w:rsidRPr="00294D75">
        <w:rPr>
          <w:color w:val="000000"/>
          <w:lang w:val="en-US"/>
        </w:rPr>
        <w:t xml:space="preserve"> </w:t>
      </w:r>
      <w:r>
        <w:rPr>
          <w:color w:val="000000"/>
          <w:lang w:val="en-US"/>
        </w:rPr>
        <w:t>y</w:t>
      </w:r>
      <w:r w:rsidRPr="00294D75">
        <w:rPr>
          <w:color w:val="000000"/>
          <w:lang w:val="en-US"/>
        </w:rPr>
        <w:t xml:space="preserve">ards with gravity hills, maintenance facilities and refueling facilities by regulatory bodies. The working subgroup </w:t>
      </w:r>
      <w:r w:rsidRPr="00BF22E8">
        <w:rPr>
          <w:lang w:val="en-US"/>
        </w:rPr>
        <w:t>would like to highlight that charging practices are prone to change among the members of IRG-Rail</w:t>
      </w:r>
      <w:r>
        <w:rPr>
          <w:lang w:val="en-US"/>
        </w:rPr>
        <w:t xml:space="preserve">. </w:t>
      </w:r>
      <w:r w:rsidRPr="00294D75">
        <w:rPr>
          <w:color w:val="000000"/>
          <w:lang w:val="en-GB"/>
        </w:rPr>
        <w:t xml:space="preserve">Further work is needed to get a better understanding of the topic and to develop </w:t>
      </w:r>
      <w:r>
        <w:rPr>
          <w:color w:val="000000"/>
          <w:lang w:val="en-GB"/>
        </w:rPr>
        <w:t>common approach</w:t>
      </w:r>
      <w:r w:rsidRPr="00294D75">
        <w:rPr>
          <w:color w:val="000000"/>
          <w:lang w:val="en-GB"/>
        </w:rPr>
        <w:t xml:space="preserve"> for charging of service facilities.</w:t>
      </w:r>
    </w:p>
    <w:p w:rsidR="007C64B4" w:rsidRPr="00294D75" w:rsidRDefault="007C64B4" w:rsidP="007C64B4">
      <w:pPr>
        <w:suppressAutoHyphens/>
        <w:spacing w:after="200" w:line="276" w:lineRule="auto"/>
        <w:jc w:val="center"/>
        <w:rPr>
          <w:rFonts w:eastAsia="Calibri"/>
          <w:b/>
          <w:bCs/>
          <w:sz w:val="22"/>
          <w:szCs w:val="22"/>
          <w:lang w:val="en-US" w:eastAsia="en-US"/>
        </w:rPr>
      </w:pPr>
    </w:p>
    <w:p w:rsidR="007C64B4" w:rsidRDefault="007C64B4" w:rsidP="007C64B4">
      <w:pPr>
        <w:rPr>
          <w:b/>
          <w:bCs/>
          <w:u w:val="single"/>
          <w:lang w:val="en-US"/>
        </w:rPr>
      </w:pPr>
      <w:bookmarkStart w:id="1" w:name="__RefHeading__5315_1151380434"/>
      <w:bookmarkEnd w:id="1"/>
      <w:r>
        <w:rPr>
          <w:b/>
          <w:bCs/>
          <w:u w:val="single"/>
          <w:lang w:val="en-US"/>
        </w:rPr>
        <w:br w:type="page"/>
      </w:r>
    </w:p>
    <w:p w:rsidR="007C64B4" w:rsidRDefault="007C64B4" w:rsidP="007C64B4">
      <w:pPr>
        <w:rPr>
          <w:b/>
          <w:bCs/>
          <w:u w:val="single"/>
        </w:rPr>
      </w:pPr>
      <w:r>
        <w:rPr>
          <w:b/>
          <w:bCs/>
          <w:u w:val="single"/>
        </w:rPr>
        <w:lastRenderedPageBreak/>
        <w:t>Contents</w:t>
      </w:r>
    </w:p>
    <w:p w:rsidR="007C64B4" w:rsidRDefault="007C64B4" w:rsidP="007C64B4">
      <w:pPr>
        <w:rPr>
          <w:b/>
          <w:bCs/>
          <w:u w:val="single"/>
        </w:rPr>
      </w:pPr>
    </w:p>
    <w:p w:rsidR="007877CC" w:rsidRDefault="007C64B4">
      <w:pPr>
        <w:pStyle w:val="TM1"/>
        <w:tabs>
          <w:tab w:val="left" w:pos="440"/>
        </w:tabs>
        <w:rPr>
          <w:rFonts w:asciiTheme="minorHAnsi" w:eastAsiaTheme="minorEastAsia" w:hAnsiTheme="minorHAnsi" w:cstheme="minorBidi"/>
          <w:noProof/>
          <w:sz w:val="22"/>
          <w:szCs w:val="22"/>
          <w:lang w:val="fr-FR" w:eastAsia="fr-FR"/>
        </w:rPr>
      </w:pPr>
      <w:r>
        <w:rPr>
          <w:b/>
          <w:bCs/>
          <w:u w:val="single"/>
        </w:rPr>
        <w:fldChar w:fldCharType="begin"/>
      </w:r>
      <w:r>
        <w:rPr>
          <w:b/>
          <w:bCs/>
          <w:u w:val="single"/>
        </w:rPr>
        <w:instrText xml:space="preserve"> TOC \o "1-3" \h \z \u </w:instrText>
      </w:r>
      <w:r>
        <w:rPr>
          <w:b/>
          <w:bCs/>
          <w:u w:val="single"/>
        </w:rPr>
        <w:fldChar w:fldCharType="separate"/>
      </w:r>
      <w:hyperlink w:anchor="_Toc496702650" w:history="1">
        <w:r w:rsidR="007877CC" w:rsidRPr="00574D03">
          <w:rPr>
            <w:rStyle w:val="Lienhypertexte"/>
            <w:b/>
            <w:bCs/>
            <w:noProof/>
          </w:rPr>
          <w:t>I.</w:t>
        </w:r>
        <w:r w:rsidR="007877CC">
          <w:rPr>
            <w:rFonts w:asciiTheme="minorHAnsi" w:eastAsiaTheme="minorEastAsia" w:hAnsiTheme="minorHAnsi" w:cstheme="minorBidi"/>
            <w:noProof/>
            <w:sz w:val="22"/>
            <w:szCs w:val="22"/>
            <w:lang w:val="fr-FR" w:eastAsia="fr-FR"/>
          </w:rPr>
          <w:tab/>
        </w:r>
        <w:r w:rsidR="007877CC" w:rsidRPr="00574D03">
          <w:rPr>
            <w:rStyle w:val="Lienhypertexte"/>
            <w:b/>
            <w:bCs/>
            <w:noProof/>
          </w:rPr>
          <w:t>Introduction</w:t>
        </w:r>
        <w:r w:rsidR="007877CC">
          <w:rPr>
            <w:noProof/>
            <w:webHidden/>
          </w:rPr>
          <w:tab/>
        </w:r>
        <w:r w:rsidR="007877CC">
          <w:rPr>
            <w:noProof/>
            <w:webHidden/>
          </w:rPr>
          <w:fldChar w:fldCharType="begin"/>
        </w:r>
        <w:r w:rsidR="007877CC">
          <w:rPr>
            <w:noProof/>
            <w:webHidden/>
          </w:rPr>
          <w:instrText xml:space="preserve"> PAGEREF _Toc496702650 \h </w:instrText>
        </w:r>
        <w:r w:rsidR="007877CC">
          <w:rPr>
            <w:noProof/>
            <w:webHidden/>
          </w:rPr>
        </w:r>
        <w:r w:rsidR="007877CC">
          <w:rPr>
            <w:noProof/>
            <w:webHidden/>
          </w:rPr>
          <w:fldChar w:fldCharType="separate"/>
        </w:r>
        <w:r w:rsidR="0099201F">
          <w:rPr>
            <w:noProof/>
            <w:webHidden/>
          </w:rPr>
          <w:t>3</w:t>
        </w:r>
        <w:r w:rsidR="007877CC">
          <w:rPr>
            <w:noProof/>
            <w:webHidden/>
          </w:rPr>
          <w:fldChar w:fldCharType="end"/>
        </w:r>
      </w:hyperlink>
    </w:p>
    <w:p w:rsidR="007877CC" w:rsidRDefault="00E9248A">
      <w:pPr>
        <w:pStyle w:val="TM1"/>
        <w:tabs>
          <w:tab w:val="left" w:pos="660"/>
        </w:tabs>
        <w:rPr>
          <w:rFonts w:asciiTheme="minorHAnsi" w:eastAsiaTheme="minorEastAsia" w:hAnsiTheme="minorHAnsi" w:cstheme="minorBidi"/>
          <w:noProof/>
          <w:sz w:val="22"/>
          <w:szCs w:val="22"/>
          <w:lang w:val="fr-FR" w:eastAsia="fr-FR"/>
        </w:rPr>
      </w:pPr>
      <w:hyperlink w:anchor="_Toc496702651" w:history="1">
        <w:r w:rsidR="007877CC" w:rsidRPr="00574D03">
          <w:rPr>
            <w:rStyle w:val="Lienhypertexte"/>
            <w:b/>
            <w:bCs/>
            <w:noProof/>
          </w:rPr>
          <w:t>II.</w:t>
        </w:r>
        <w:r w:rsidR="007877CC">
          <w:rPr>
            <w:rFonts w:asciiTheme="minorHAnsi" w:eastAsiaTheme="minorEastAsia" w:hAnsiTheme="minorHAnsi" w:cstheme="minorBidi"/>
            <w:noProof/>
            <w:sz w:val="22"/>
            <w:szCs w:val="22"/>
            <w:lang w:val="fr-FR" w:eastAsia="fr-FR"/>
          </w:rPr>
          <w:tab/>
        </w:r>
        <w:r w:rsidR="007877CC" w:rsidRPr="00574D03">
          <w:rPr>
            <w:rStyle w:val="Lienhypertexte"/>
            <w:b/>
            <w:bCs/>
            <w:noProof/>
          </w:rPr>
          <w:t>General questions and role of the regulatory body</w:t>
        </w:r>
        <w:r w:rsidR="007877CC">
          <w:rPr>
            <w:noProof/>
            <w:webHidden/>
          </w:rPr>
          <w:tab/>
        </w:r>
        <w:r w:rsidR="007877CC">
          <w:rPr>
            <w:noProof/>
            <w:webHidden/>
          </w:rPr>
          <w:fldChar w:fldCharType="begin"/>
        </w:r>
        <w:r w:rsidR="007877CC">
          <w:rPr>
            <w:noProof/>
            <w:webHidden/>
          </w:rPr>
          <w:instrText xml:space="preserve"> PAGEREF _Toc496702651 \h </w:instrText>
        </w:r>
        <w:r w:rsidR="007877CC">
          <w:rPr>
            <w:noProof/>
            <w:webHidden/>
          </w:rPr>
        </w:r>
        <w:r w:rsidR="007877CC">
          <w:rPr>
            <w:noProof/>
            <w:webHidden/>
          </w:rPr>
          <w:fldChar w:fldCharType="separate"/>
        </w:r>
        <w:r w:rsidR="0099201F">
          <w:rPr>
            <w:noProof/>
            <w:webHidden/>
          </w:rPr>
          <w:t>5</w:t>
        </w:r>
        <w:r w:rsidR="007877CC">
          <w:rPr>
            <w:noProof/>
            <w:webHidden/>
          </w:rPr>
          <w:fldChar w:fldCharType="end"/>
        </w:r>
      </w:hyperlink>
    </w:p>
    <w:p w:rsidR="007877CC" w:rsidRDefault="00E9248A">
      <w:pPr>
        <w:pStyle w:val="TM1"/>
        <w:tabs>
          <w:tab w:val="left" w:pos="660"/>
        </w:tabs>
        <w:rPr>
          <w:rFonts w:asciiTheme="minorHAnsi" w:eastAsiaTheme="minorEastAsia" w:hAnsiTheme="minorHAnsi" w:cstheme="minorBidi"/>
          <w:noProof/>
          <w:sz w:val="22"/>
          <w:szCs w:val="22"/>
          <w:lang w:val="fr-FR" w:eastAsia="fr-FR"/>
        </w:rPr>
      </w:pPr>
      <w:hyperlink w:anchor="_Toc496702652" w:history="1">
        <w:r w:rsidR="007877CC" w:rsidRPr="00574D03">
          <w:rPr>
            <w:rStyle w:val="Lienhypertexte"/>
            <w:b/>
            <w:bCs/>
            <w:noProof/>
          </w:rPr>
          <w:t>III.</w:t>
        </w:r>
        <w:r w:rsidR="007877CC">
          <w:rPr>
            <w:rFonts w:asciiTheme="minorHAnsi" w:eastAsiaTheme="minorEastAsia" w:hAnsiTheme="minorHAnsi" w:cstheme="minorBidi"/>
            <w:noProof/>
            <w:sz w:val="22"/>
            <w:szCs w:val="22"/>
            <w:lang w:val="fr-FR" w:eastAsia="fr-FR"/>
          </w:rPr>
          <w:tab/>
        </w:r>
        <w:r w:rsidR="007877CC" w:rsidRPr="00574D03">
          <w:rPr>
            <w:rStyle w:val="Lienhypertexte"/>
            <w:b/>
            <w:bCs/>
            <w:noProof/>
          </w:rPr>
          <w:t>Computation of charges in IRG-Rail member countries</w:t>
        </w:r>
        <w:r w:rsidR="007877CC">
          <w:rPr>
            <w:noProof/>
            <w:webHidden/>
          </w:rPr>
          <w:tab/>
        </w:r>
        <w:r w:rsidR="007877CC">
          <w:rPr>
            <w:noProof/>
            <w:webHidden/>
          </w:rPr>
          <w:fldChar w:fldCharType="begin"/>
        </w:r>
        <w:r w:rsidR="007877CC">
          <w:rPr>
            <w:noProof/>
            <w:webHidden/>
          </w:rPr>
          <w:instrText xml:space="preserve"> PAGEREF _Toc496702652 \h </w:instrText>
        </w:r>
        <w:r w:rsidR="007877CC">
          <w:rPr>
            <w:noProof/>
            <w:webHidden/>
          </w:rPr>
        </w:r>
        <w:r w:rsidR="007877CC">
          <w:rPr>
            <w:noProof/>
            <w:webHidden/>
          </w:rPr>
          <w:fldChar w:fldCharType="separate"/>
        </w:r>
        <w:r w:rsidR="0099201F">
          <w:rPr>
            <w:noProof/>
            <w:webHidden/>
          </w:rPr>
          <w:t>10</w:t>
        </w:r>
        <w:r w:rsidR="007877CC">
          <w:rPr>
            <w:noProof/>
            <w:webHidden/>
          </w:rPr>
          <w:fldChar w:fldCharType="end"/>
        </w:r>
      </w:hyperlink>
    </w:p>
    <w:p w:rsidR="007877CC" w:rsidRDefault="00E9248A">
      <w:pPr>
        <w:pStyle w:val="TM1"/>
        <w:tabs>
          <w:tab w:val="left" w:pos="660"/>
        </w:tabs>
        <w:rPr>
          <w:rFonts w:asciiTheme="minorHAnsi" w:eastAsiaTheme="minorEastAsia" w:hAnsiTheme="minorHAnsi" w:cstheme="minorBidi"/>
          <w:noProof/>
          <w:sz w:val="22"/>
          <w:szCs w:val="22"/>
          <w:lang w:val="fr-FR" w:eastAsia="fr-FR"/>
        </w:rPr>
      </w:pPr>
      <w:hyperlink w:anchor="_Toc496702653" w:history="1">
        <w:r w:rsidR="007877CC" w:rsidRPr="00574D03">
          <w:rPr>
            <w:rStyle w:val="Lienhypertexte"/>
            <w:b/>
            <w:bCs/>
            <w:noProof/>
          </w:rPr>
          <w:t>IV.</w:t>
        </w:r>
        <w:r w:rsidR="007877CC">
          <w:rPr>
            <w:rFonts w:asciiTheme="minorHAnsi" w:eastAsiaTheme="minorEastAsia" w:hAnsiTheme="minorHAnsi" w:cstheme="minorBidi"/>
            <w:noProof/>
            <w:sz w:val="22"/>
            <w:szCs w:val="22"/>
            <w:lang w:val="fr-FR" w:eastAsia="fr-FR"/>
          </w:rPr>
          <w:tab/>
        </w:r>
        <w:r w:rsidR="007877CC" w:rsidRPr="00574D03">
          <w:rPr>
            <w:rStyle w:val="Lienhypertexte"/>
            <w:b/>
            <w:bCs/>
            <w:noProof/>
          </w:rPr>
          <w:t>Conclusion</w:t>
        </w:r>
        <w:r w:rsidR="007877CC">
          <w:rPr>
            <w:noProof/>
            <w:webHidden/>
          </w:rPr>
          <w:tab/>
        </w:r>
        <w:r w:rsidR="007877CC">
          <w:rPr>
            <w:noProof/>
            <w:webHidden/>
          </w:rPr>
          <w:fldChar w:fldCharType="begin"/>
        </w:r>
        <w:r w:rsidR="007877CC">
          <w:rPr>
            <w:noProof/>
            <w:webHidden/>
          </w:rPr>
          <w:instrText xml:space="preserve"> PAGEREF _Toc496702653 \h </w:instrText>
        </w:r>
        <w:r w:rsidR="007877CC">
          <w:rPr>
            <w:noProof/>
            <w:webHidden/>
          </w:rPr>
        </w:r>
        <w:r w:rsidR="007877CC">
          <w:rPr>
            <w:noProof/>
            <w:webHidden/>
          </w:rPr>
          <w:fldChar w:fldCharType="separate"/>
        </w:r>
        <w:r w:rsidR="0099201F">
          <w:rPr>
            <w:noProof/>
            <w:webHidden/>
          </w:rPr>
          <w:t>20</w:t>
        </w:r>
        <w:r w:rsidR="007877CC">
          <w:rPr>
            <w:noProof/>
            <w:webHidden/>
          </w:rPr>
          <w:fldChar w:fldCharType="end"/>
        </w:r>
      </w:hyperlink>
    </w:p>
    <w:p w:rsidR="007877CC" w:rsidRDefault="00E9248A">
      <w:pPr>
        <w:pStyle w:val="TM1"/>
        <w:tabs>
          <w:tab w:val="left" w:pos="660"/>
        </w:tabs>
        <w:rPr>
          <w:rFonts w:asciiTheme="minorHAnsi" w:eastAsiaTheme="minorEastAsia" w:hAnsiTheme="minorHAnsi" w:cstheme="minorBidi"/>
          <w:noProof/>
          <w:sz w:val="22"/>
          <w:szCs w:val="22"/>
          <w:lang w:val="fr-FR" w:eastAsia="fr-FR"/>
        </w:rPr>
      </w:pPr>
      <w:hyperlink w:anchor="_Toc496702654" w:history="1">
        <w:r w:rsidR="007877CC" w:rsidRPr="00574D03">
          <w:rPr>
            <w:rStyle w:val="Lienhypertexte"/>
            <w:b/>
            <w:bCs/>
            <w:noProof/>
          </w:rPr>
          <w:t>V.</w:t>
        </w:r>
        <w:r w:rsidR="007877CC">
          <w:rPr>
            <w:rFonts w:asciiTheme="minorHAnsi" w:eastAsiaTheme="minorEastAsia" w:hAnsiTheme="minorHAnsi" w:cstheme="minorBidi"/>
            <w:noProof/>
            <w:sz w:val="22"/>
            <w:szCs w:val="22"/>
            <w:lang w:val="fr-FR" w:eastAsia="fr-FR"/>
          </w:rPr>
          <w:tab/>
        </w:r>
        <w:r w:rsidR="007877CC" w:rsidRPr="00574D03">
          <w:rPr>
            <w:rStyle w:val="Lienhypertexte"/>
            <w:b/>
            <w:bCs/>
            <w:noProof/>
          </w:rPr>
          <w:t>Annex: Additional information on charging for service facilities from IRG-Rail members</w:t>
        </w:r>
        <w:r w:rsidR="007877CC">
          <w:rPr>
            <w:noProof/>
            <w:webHidden/>
          </w:rPr>
          <w:tab/>
        </w:r>
        <w:r w:rsidR="007877CC">
          <w:rPr>
            <w:noProof/>
            <w:webHidden/>
          </w:rPr>
          <w:fldChar w:fldCharType="begin"/>
        </w:r>
        <w:r w:rsidR="007877CC">
          <w:rPr>
            <w:noProof/>
            <w:webHidden/>
          </w:rPr>
          <w:instrText xml:space="preserve"> PAGEREF _Toc496702654 \h </w:instrText>
        </w:r>
        <w:r w:rsidR="007877CC">
          <w:rPr>
            <w:noProof/>
            <w:webHidden/>
          </w:rPr>
        </w:r>
        <w:r w:rsidR="007877CC">
          <w:rPr>
            <w:noProof/>
            <w:webHidden/>
          </w:rPr>
          <w:fldChar w:fldCharType="separate"/>
        </w:r>
        <w:r w:rsidR="0099201F">
          <w:rPr>
            <w:noProof/>
            <w:webHidden/>
          </w:rPr>
          <w:t>21</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55" w:history="1">
        <w:r w:rsidR="007877CC" w:rsidRPr="00574D03">
          <w:rPr>
            <w:rStyle w:val="Lienhypertexte"/>
            <w:b/>
            <w:noProof/>
          </w:rPr>
          <w:t>Austria</w:t>
        </w:r>
        <w:r w:rsidR="007877CC">
          <w:rPr>
            <w:noProof/>
            <w:webHidden/>
          </w:rPr>
          <w:tab/>
        </w:r>
        <w:r w:rsidR="007877CC">
          <w:rPr>
            <w:noProof/>
            <w:webHidden/>
          </w:rPr>
          <w:fldChar w:fldCharType="begin"/>
        </w:r>
        <w:r w:rsidR="007877CC">
          <w:rPr>
            <w:noProof/>
            <w:webHidden/>
          </w:rPr>
          <w:instrText xml:space="preserve"> PAGEREF _Toc496702655 \h </w:instrText>
        </w:r>
        <w:r w:rsidR="007877CC">
          <w:rPr>
            <w:noProof/>
            <w:webHidden/>
          </w:rPr>
        </w:r>
        <w:r w:rsidR="007877CC">
          <w:rPr>
            <w:noProof/>
            <w:webHidden/>
          </w:rPr>
          <w:fldChar w:fldCharType="separate"/>
        </w:r>
        <w:r w:rsidR="0099201F">
          <w:rPr>
            <w:noProof/>
            <w:webHidden/>
          </w:rPr>
          <w:t>21</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56" w:history="1">
        <w:r w:rsidR="007877CC" w:rsidRPr="00574D03">
          <w:rPr>
            <w:rStyle w:val="Lienhypertexte"/>
            <w:b/>
            <w:noProof/>
          </w:rPr>
          <w:t>Belgium</w:t>
        </w:r>
        <w:r w:rsidR="007877CC">
          <w:rPr>
            <w:noProof/>
            <w:webHidden/>
          </w:rPr>
          <w:tab/>
        </w:r>
        <w:r w:rsidR="007877CC">
          <w:rPr>
            <w:noProof/>
            <w:webHidden/>
          </w:rPr>
          <w:fldChar w:fldCharType="begin"/>
        </w:r>
        <w:r w:rsidR="007877CC">
          <w:rPr>
            <w:noProof/>
            <w:webHidden/>
          </w:rPr>
          <w:instrText xml:space="preserve"> PAGEREF _Toc496702656 \h </w:instrText>
        </w:r>
        <w:r w:rsidR="007877CC">
          <w:rPr>
            <w:noProof/>
            <w:webHidden/>
          </w:rPr>
        </w:r>
        <w:r w:rsidR="007877CC">
          <w:rPr>
            <w:noProof/>
            <w:webHidden/>
          </w:rPr>
          <w:fldChar w:fldCharType="separate"/>
        </w:r>
        <w:r w:rsidR="0099201F">
          <w:rPr>
            <w:noProof/>
            <w:webHidden/>
          </w:rPr>
          <w:t>22</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57" w:history="1">
        <w:r w:rsidR="007877CC" w:rsidRPr="00574D03">
          <w:rPr>
            <w:rStyle w:val="Lienhypertexte"/>
            <w:b/>
            <w:noProof/>
          </w:rPr>
          <w:t>Bulgaria</w:t>
        </w:r>
        <w:r w:rsidR="007877CC">
          <w:rPr>
            <w:noProof/>
            <w:webHidden/>
          </w:rPr>
          <w:tab/>
        </w:r>
        <w:r w:rsidR="007877CC">
          <w:rPr>
            <w:noProof/>
            <w:webHidden/>
          </w:rPr>
          <w:fldChar w:fldCharType="begin"/>
        </w:r>
        <w:r w:rsidR="007877CC">
          <w:rPr>
            <w:noProof/>
            <w:webHidden/>
          </w:rPr>
          <w:instrText xml:space="preserve"> PAGEREF _Toc496702657 \h </w:instrText>
        </w:r>
        <w:r w:rsidR="007877CC">
          <w:rPr>
            <w:noProof/>
            <w:webHidden/>
          </w:rPr>
        </w:r>
        <w:r w:rsidR="007877CC">
          <w:rPr>
            <w:noProof/>
            <w:webHidden/>
          </w:rPr>
          <w:fldChar w:fldCharType="separate"/>
        </w:r>
        <w:r w:rsidR="0099201F">
          <w:rPr>
            <w:noProof/>
            <w:webHidden/>
          </w:rPr>
          <w:t>22</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58" w:history="1">
        <w:r w:rsidR="007877CC" w:rsidRPr="00574D03">
          <w:rPr>
            <w:rStyle w:val="Lienhypertexte"/>
            <w:b/>
            <w:noProof/>
          </w:rPr>
          <w:t>Croatia</w:t>
        </w:r>
        <w:r w:rsidR="007877CC">
          <w:rPr>
            <w:noProof/>
            <w:webHidden/>
          </w:rPr>
          <w:tab/>
        </w:r>
        <w:r w:rsidR="007877CC">
          <w:rPr>
            <w:noProof/>
            <w:webHidden/>
          </w:rPr>
          <w:fldChar w:fldCharType="begin"/>
        </w:r>
        <w:r w:rsidR="007877CC">
          <w:rPr>
            <w:noProof/>
            <w:webHidden/>
          </w:rPr>
          <w:instrText xml:space="preserve"> PAGEREF _Toc496702658 \h </w:instrText>
        </w:r>
        <w:r w:rsidR="007877CC">
          <w:rPr>
            <w:noProof/>
            <w:webHidden/>
          </w:rPr>
        </w:r>
        <w:r w:rsidR="007877CC">
          <w:rPr>
            <w:noProof/>
            <w:webHidden/>
          </w:rPr>
          <w:fldChar w:fldCharType="separate"/>
        </w:r>
        <w:r w:rsidR="0099201F">
          <w:rPr>
            <w:noProof/>
            <w:webHidden/>
          </w:rPr>
          <w:t>22</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59" w:history="1">
        <w:r w:rsidR="007877CC" w:rsidRPr="00574D03">
          <w:rPr>
            <w:rStyle w:val="Lienhypertexte"/>
            <w:b/>
            <w:noProof/>
          </w:rPr>
          <w:t>Finland</w:t>
        </w:r>
        <w:r w:rsidR="007877CC">
          <w:rPr>
            <w:noProof/>
            <w:webHidden/>
          </w:rPr>
          <w:tab/>
        </w:r>
        <w:r w:rsidR="007877CC">
          <w:rPr>
            <w:noProof/>
            <w:webHidden/>
          </w:rPr>
          <w:fldChar w:fldCharType="begin"/>
        </w:r>
        <w:r w:rsidR="007877CC">
          <w:rPr>
            <w:noProof/>
            <w:webHidden/>
          </w:rPr>
          <w:instrText xml:space="preserve"> PAGEREF _Toc496702659 \h </w:instrText>
        </w:r>
        <w:r w:rsidR="007877CC">
          <w:rPr>
            <w:noProof/>
            <w:webHidden/>
          </w:rPr>
        </w:r>
        <w:r w:rsidR="007877CC">
          <w:rPr>
            <w:noProof/>
            <w:webHidden/>
          </w:rPr>
          <w:fldChar w:fldCharType="separate"/>
        </w:r>
        <w:r w:rsidR="0099201F">
          <w:rPr>
            <w:noProof/>
            <w:webHidden/>
          </w:rPr>
          <w:t>23</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60" w:history="1">
        <w:r w:rsidR="007877CC" w:rsidRPr="00574D03">
          <w:rPr>
            <w:rStyle w:val="Lienhypertexte"/>
            <w:b/>
            <w:noProof/>
          </w:rPr>
          <w:t>France</w:t>
        </w:r>
        <w:r w:rsidR="007877CC">
          <w:rPr>
            <w:noProof/>
            <w:webHidden/>
          </w:rPr>
          <w:tab/>
        </w:r>
        <w:r w:rsidR="007877CC">
          <w:rPr>
            <w:noProof/>
            <w:webHidden/>
          </w:rPr>
          <w:fldChar w:fldCharType="begin"/>
        </w:r>
        <w:r w:rsidR="007877CC">
          <w:rPr>
            <w:noProof/>
            <w:webHidden/>
          </w:rPr>
          <w:instrText xml:space="preserve"> PAGEREF _Toc496702660 \h </w:instrText>
        </w:r>
        <w:r w:rsidR="007877CC">
          <w:rPr>
            <w:noProof/>
            <w:webHidden/>
          </w:rPr>
        </w:r>
        <w:r w:rsidR="007877CC">
          <w:rPr>
            <w:noProof/>
            <w:webHidden/>
          </w:rPr>
          <w:fldChar w:fldCharType="separate"/>
        </w:r>
        <w:r w:rsidR="0099201F">
          <w:rPr>
            <w:noProof/>
            <w:webHidden/>
          </w:rPr>
          <w:t>23</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61" w:history="1">
        <w:r w:rsidR="007877CC" w:rsidRPr="00574D03">
          <w:rPr>
            <w:rStyle w:val="Lienhypertexte"/>
            <w:b/>
            <w:noProof/>
          </w:rPr>
          <w:t>Germany</w:t>
        </w:r>
        <w:r w:rsidR="007877CC">
          <w:rPr>
            <w:noProof/>
            <w:webHidden/>
          </w:rPr>
          <w:tab/>
        </w:r>
        <w:r w:rsidR="007877CC">
          <w:rPr>
            <w:noProof/>
            <w:webHidden/>
          </w:rPr>
          <w:fldChar w:fldCharType="begin"/>
        </w:r>
        <w:r w:rsidR="007877CC">
          <w:rPr>
            <w:noProof/>
            <w:webHidden/>
          </w:rPr>
          <w:instrText xml:space="preserve"> PAGEREF _Toc496702661 \h </w:instrText>
        </w:r>
        <w:r w:rsidR="007877CC">
          <w:rPr>
            <w:noProof/>
            <w:webHidden/>
          </w:rPr>
        </w:r>
        <w:r w:rsidR="007877CC">
          <w:rPr>
            <w:noProof/>
            <w:webHidden/>
          </w:rPr>
          <w:fldChar w:fldCharType="separate"/>
        </w:r>
        <w:r w:rsidR="0099201F">
          <w:rPr>
            <w:noProof/>
            <w:webHidden/>
          </w:rPr>
          <w:t>24</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62" w:history="1">
        <w:r w:rsidR="007877CC" w:rsidRPr="00574D03">
          <w:rPr>
            <w:rStyle w:val="Lienhypertexte"/>
            <w:b/>
            <w:noProof/>
            <w:lang w:val="en-US"/>
          </w:rPr>
          <w:t>Greece</w:t>
        </w:r>
        <w:r w:rsidR="007877CC">
          <w:rPr>
            <w:noProof/>
            <w:webHidden/>
          </w:rPr>
          <w:tab/>
        </w:r>
        <w:r w:rsidR="007877CC">
          <w:rPr>
            <w:noProof/>
            <w:webHidden/>
          </w:rPr>
          <w:fldChar w:fldCharType="begin"/>
        </w:r>
        <w:r w:rsidR="007877CC">
          <w:rPr>
            <w:noProof/>
            <w:webHidden/>
          </w:rPr>
          <w:instrText xml:space="preserve"> PAGEREF _Toc496702662 \h </w:instrText>
        </w:r>
        <w:r w:rsidR="007877CC">
          <w:rPr>
            <w:noProof/>
            <w:webHidden/>
          </w:rPr>
        </w:r>
        <w:r w:rsidR="007877CC">
          <w:rPr>
            <w:noProof/>
            <w:webHidden/>
          </w:rPr>
          <w:fldChar w:fldCharType="separate"/>
        </w:r>
        <w:r w:rsidR="0099201F">
          <w:rPr>
            <w:noProof/>
            <w:webHidden/>
          </w:rPr>
          <w:t>24</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63" w:history="1">
        <w:r w:rsidR="007877CC" w:rsidRPr="00574D03">
          <w:rPr>
            <w:rStyle w:val="Lienhypertexte"/>
            <w:b/>
            <w:noProof/>
          </w:rPr>
          <w:t>Italy</w:t>
        </w:r>
        <w:r w:rsidR="007877CC">
          <w:rPr>
            <w:noProof/>
            <w:webHidden/>
          </w:rPr>
          <w:tab/>
        </w:r>
        <w:r w:rsidR="007877CC">
          <w:rPr>
            <w:noProof/>
            <w:webHidden/>
          </w:rPr>
          <w:fldChar w:fldCharType="begin"/>
        </w:r>
        <w:r w:rsidR="007877CC">
          <w:rPr>
            <w:noProof/>
            <w:webHidden/>
          </w:rPr>
          <w:instrText xml:space="preserve"> PAGEREF _Toc496702663 \h </w:instrText>
        </w:r>
        <w:r w:rsidR="007877CC">
          <w:rPr>
            <w:noProof/>
            <w:webHidden/>
          </w:rPr>
        </w:r>
        <w:r w:rsidR="007877CC">
          <w:rPr>
            <w:noProof/>
            <w:webHidden/>
          </w:rPr>
          <w:fldChar w:fldCharType="separate"/>
        </w:r>
        <w:r w:rsidR="0099201F">
          <w:rPr>
            <w:noProof/>
            <w:webHidden/>
          </w:rPr>
          <w:t>24</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64" w:history="1">
        <w:r w:rsidR="007877CC" w:rsidRPr="00574D03">
          <w:rPr>
            <w:rStyle w:val="Lienhypertexte"/>
            <w:b/>
            <w:noProof/>
          </w:rPr>
          <w:t>The Netherlands</w:t>
        </w:r>
        <w:r w:rsidR="007877CC">
          <w:rPr>
            <w:noProof/>
            <w:webHidden/>
          </w:rPr>
          <w:tab/>
        </w:r>
        <w:r w:rsidR="007877CC">
          <w:rPr>
            <w:noProof/>
            <w:webHidden/>
          </w:rPr>
          <w:fldChar w:fldCharType="begin"/>
        </w:r>
        <w:r w:rsidR="007877CC">
          <w:rPr>
            <w:noProof/>
            <w:webHidden/>
          </w:rPr>
          <w:instrText xml:space="preserve"> PAGEREF _Toc496702664 \h </w:instrText>
        </w:r>
        <w:r w:rsidR="007877CC">
          <w:rPr>
            <w:noProof/>
            <w:webHidden/>
          </w:rPr>
        </w:r>
        <w:r w:rsidR="007877CC">
          <w:rPr>
            <w:noProof/>
            <w:webHidden/>
          </w:rPr>
          <w:fldChar w:fldCharType="separate"/>
        </w:r>
        <w:r w:rsidR="0099201F">
          <w:rPr>
            <w:noProof/>
            <w:webHidden/>
          </w:rPr>
          <w:t>25</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65" w:history="1">
        <w:r w:rsidR="007877CC" w:rsidRPr="00574D03">
          <w:rPr>
            <w:rStyle w:val="Lienhypertexte"/>
            <w:b/>
            <w:noProof/>
          </w:rPr>
          <w:t>Norway</w:t>
        </w:r>
        <w:r w:rsidR="007877CC">
          <w:rPr>
            <w:noProof/>
            <w:webHidden/>
          </w:rPr>
          <w:tab/>
        </w:r>
        <w:r w:rsidR="007877CC">
          <w:rPr>
            <w:noProof/>
            <w:webHidden/>
          </w:rPr>
          <w:fldChar w:fldCharType="begin"/>
        </w:r>
        <w:r w:rsidR="007877CC">
          <w:rPr>
            <w:noProof/>
            <w:webHidden/>
          </w:rPr>
          <w:instrText xml:space="preserve"> PAGEREF _Toc496702665 \h </w:instrText>
        </w:r>
        <w:r w:rsidR="007877CC">
          <w:rPr>
            <w:noProof/>
            <w:webHidden/>
          </w:rPr>
        </w:r>
        <w:r w:rsidR="007877CC">
          <w:rPr>
            <w:noProof/>
            <w:webHidden/>
          </w:rPr>
          <w:fldChar w:fldCharType="separate"/>
        </w:r>
        <w:r w:rsidR="0099201F">
          <w:rPr>
            <w:noProof/>
            <w:webHidden/>
          </w:rPr>
          <w:t>25</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66" w:history="1">
        <w:r w:rsidR="007877CC" w:rsidRPr="00574D03">
          <w:rPr>
            <w:rStyle w:val="Lienhypertexte"/>
            <w:b/>
            <w:noProof/>
          </w:rPr>
          <w:t>Poland</w:t>
        </w:r>
        <w:r w:rsidR="007877CC">
          <w:rPr>
            <w:noProof/>
            <w:webHidden/>
          </w:rPr>
          <w:tab/>
        </w:r>
        <w:r w:rsidR="007877CC">
          <w:rPr>
            <w:noProof/>
            <w:webHidden/>
          </w:rPr>
          <w:fldChar w:fldCharType="begin"/>
        </w:r>
        <w:r w:rsidR="007877CC">
          <w:rPr>
            <w:noProof/>
            <w:webHidden/>
          </w:rPr>
          <w:instrText xml:space="preserve"> PAGEREF _Toc496702666 \h </w:instrText>
        </w:r>
        <w:r w:rsidR="007877CC">
          <w:rPr>
            <w:noProof/>
            <w:webHidden/>
          </w:rPr>
        </w:r>
        <w:r w:rsidR="007877CC">
          <w:rPr>
            <w:noProof/>
            <w:webHidden/>
          </w:rPr>
          <w:fldChar w:fldCharType="separate"/>
        </w:r>
        <w:r w:rsidR="0099201F">
          <w:rPr>
            <w:noProof/>
            <w:webHidden/>
          </w:rPr>
          <w:t>25</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67" w:history="1">
        <w:r w:rsidR="007877CC" w:rsidRPr="00574D03">
          <w:rPr>
            <w:rStyle w:val="Lienhypertexte"/>
            <w:b/>
            <w:noProof/>
          </w:rPr>
          <w:t>Portugal</w:t>
        </w:r>
        <w:r w:rsidR="007877CC">
          <w:rPr>
            <w:noProof/>
            <w:webHidden/>
          </w:rPr>
          <w:tab/>
        </w:r>
        <w:r w:rsidR="007877CC">
          <w:rPr>
            <w:noProof/>
            <w:webHidden/>
          </w:rPr>
          <w:fldChar w:fldCharType="begin"/>
        </w:r>
        <w:r w:rsidR="007877CC">
          <w:rPr>
            <w:noProof/>
            <w:webHidden/>
          </w:rPr>
          <w:instrText xml:space="preserve"> PAGEREF _Toc496702667 \h </w:instrText>
        </w:r>
        <w:r w:rsidR="007877CC">
          <w:rPr>
            <w:noProof/>
            <w:webHidden/>
          </w:rPr>
        </w:r>
        <w:r w:rsidR="007877CC">
          <w:rPr>
            <w:noProof/>
            <w:webHidden/>
          </w:rPr>
          <w:fldChar w:fldCharType="separate"/>
        </w:r>
        <w:r w:rsidR="0099201F">
          <w:rPr>
            <w:noProof/>
            <w:webHidden/>
          </w:rPr>
          <w:t>26</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68" w:history="1">
        <w:r w:rsidR="007877CC" w:rsidRPr="00574D03">
          <w:rPr>
            <w:rStyle w:val="Lienhypertexte"/>
            <w:b/>
            <w:noProof/>
            <w:lang w:val="en-US"/>
          </w:rPr>
          <w:t>Romania</w:t>
        </w:r>
        <w:r w:rsidR="007877CC">
          <w:rPr>
            <w:noProof/>
            <w:webHidden/>
          </w:rPr>
          <w:tab/>
        </w:r>
        <w:r w:rsidR="007877CC">
          <w:rPr>
            <w:noProof/>
            <w:webHidden/>
          </w:rPr>
          <w:fldChar w:fldCharType="begin"/>
        </w:r>
        <w:r w:rsidR="007877CC">
          <w:rPr>
            <w:noProof/>
            <w:webHidden/>
          </w:rPr>
          <w:instrText xml:space="preserve"> PAGEREF _Toc496702668 \h </w:instrText>
        </w:r>
        <w:r w:rsidR="007877CC">
          <w:rPr>
            <w:noProof/>
            <w:webHidden/>
          </w:rPr>
        </w:r>
        <w:r w:rsidR="007877CC">
          <w:rPr>
            <w:noProof/>
            <w:webHidden/>
          </w:rPr>
          <w:fldChar w:fldCharType="separate"/>
        </w:r>
        <w:r w:rsidR="0099201F">
          <w:rPr>
            <w:noProof/>
            <w:webHidden/>
          </w:rPr>
          <w:t>26</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69" w:history="1">
        <w:r w:rsidR="007877CC" w:rsidRPr="00574D03">
          <w:rPr>
            <w:rStyle w:val="Lienhypertexte"/>
            <w:b/>
            <w:noProof/>
          </w:rPr>
          <w:t>Slovenia</w:t>
        </w:r>
        <w:r w:rsidR="007877CC">
          <w:rPr>
            <w:noProof/>
            <w:webHidden/>
          </w:rPr>
          <w:tab/>
        </w:r>
        <w:r w:rsidR="007877CC">
          <w:rPr>
            <w:noProof/>
            <w:webHidden/>
          </w:rPr>
          <w:fldChar w:fldCharType="begin"/>
        </w:r>
        <w:r w:rsidR="007877CC">
          <w:rPr>
            <w:noProof/>
            <w:webHidden/>
          </w:rPr>
          <w:instrText xml:space="preserve"> PAGEREF _Toc496702669 \h </w:instrText>
        </w:r>
        <w:r w:rsidR="007877CC">
          <w:rPr>
            <w:noProof/>
            <w:webHidden/>
          </w:rPr>
        </w:r>
        <w:r w:rsidR="007877CC">
          <w:rPr>
            <w:noProof/>
            <w:webHidden/>
          </w:rPr>
          <w:fldChar w:fldCharType="separate"/>
        </w:r>
        <w:r w:rsidR="0099201F">
          <w:rPr>
            <w:noProof/>
            <w:webHidden/>
          </w:rPr>
          <w:t>26</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70" w:history="1">
        <w:r w:rsidR="007877CC" w:rsidRPr="00574D03">
          <w:rPr>
            <w:rStyle w:val="Lienhypertexte"/>
            <w:b/>
            <w:noProof/>
          </w:rPr>
          <w:t>Spain</w:t>
        </w:r>
        <w:r w:rsidR="007877CC">
          <w:rPr>
            <w:noProof/>
            <w:webHidden/>
          </w:rPr>
          <w:tab/>
        </w:r>
        <w:r w:rsidR="007877CC">
          <w:rPr>
            <w:noProof/>
            <w:webHidden/>
          </w:rPr>
          <w:fldChar w:fldCharType="begin"/>
        </w:r>
        <w:r w:rsidR="007877CC">
          <w:rPr>
            <w:noProof/>
            <w:webHidden/>
          </w:rPr>
          <w:instrText xml:space="preserve"> PAGEREF _Toc496702670 \h </w:instrText>
        </w:r>
        <w:r w:rsidR="007877CC">
          <w:rPr>
            <w:noProof/>
            <w:webHidden/>
          </w:rPr>
        </w:r>
        <w:r w:rsidR="007877CC">
          <w:rPr>
            <w:noProof/>
            <w:webHidden/>
          </w:rPr>
          <w:fldChar w:fldCharType="separate"/>
        </w:r>
        <w:r w:rsidR="0099201F">
          <w:rPr>
            <w:noProof/>
            <w:webHidden/>
          </w:rPr>
          <w:t>27</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71" w:history="1">
        <w:r w:rsidR="007877CC" w:rsidRPr="00574D03">
          <w:rPr>
            <w:rStyle w:val="Lienhypertexte"/>
            <w:b/>
            <w:noProof/>
          </w:rPr>
          <w:t>Sweden</w:t>
        </w:r>
        <w:r w:rsidR="007877CC">
          <w:rPr>
            <w:noProof/>
            <w:webHidden/>
          </w:rPr>
          <w:tab/>
        </w:r>
        <w:r w:rsidR="007877CC">
          <w:rPr>
            <w:noProof/>
            <w:webHidden/>
          </w:rPr>
          <w:fldChar w:fldCharType="begin"/>
        </w:r>
        <w:r w:rsidR="007877CC">
          <w:rPr>
            <w:noProof/>
            <w:webHidden/>
          </w:rPr>
          <w:instrText xml:space="preserve"> PAGEREF _Toc496702671 \h </w:instrText>
        </w:r>
        <w:r w:rsidR="007877CC">
          <w:rPr>
            <w:noProof/>
            <w:webHidden/>
          </w:rPr>
        </w:r>
        <w:r w:rsidR="007877CC">
          <w:rPr>
            <w:noProof/>
            <w:webHidden/>
          </w:rPr>
          <w:fldChar w:fldCharType="separate"/>
        </w:r>
        <w:r w:rsidR="0099201F">
          <w:rPr>
            <w:noProof/>
            <w:webHidden/>
          </w:rPr>
          <w:t>27</w:t>
        </w:r>
        <w:r w:rsidR="007877CC">
          <w:rPr>
            <w:noProof/>
            <w:webHidden/>
          </w:rPr>
          <w:fldChar w:fldCharType="end"/>
        </w:r>
      </w:hyperlink>
    </w:p>
    <w:p w:rsidR="007877CC" w:rsidRDefault="00E9248A">
      <w:pPr>
        <w:pStyle w:val="TM1"/>
        <w:rPr>
          <w:rFonts w:asciiTheme="minorHAnsi" w:eastAsiaTheme="minorEastAsia" w:hAnsiTheme="minorHAnsi" w:cstheme="minorBidi"/>
          <w:noProof/>
          <w:sz w:val="22"/>
          <w:szCs w:val="22"/>
          <w:lang w:val="fr-FR" w:eastAsia="fr-FR"/>
        </w:rPr>
      </w:pPr>
      <w:hyperlink w:anchor="_Toc496702672" w:history="1">
        <w:r w:rsidR="007877CC" w:rsidRPr="00574D03">
          <w:rPr>
            <w:rStyle w:val="Lienhypertexte"/>
            <w:b/>
            <w:noProof/>
          </w:rPr>
          <w:t>United Kingdom</w:t>
        </w:r>
        <w:r w:rsidR="007877CC">
          <w:rPr>
            <w:noProof/>
            <w:webHidden/>
          </w:rPr>
          <w:tab/>
        </w:r>
        <w:r w:rsidR="007877CC">
          <w:rPr>
            <w:noProof/>
            <w:webHidden/>
          </w:rPr>
          <w:fldChar w:fldCharType="begin"/>
        </w:r>
        <w:r w:rsidR="007877CC">
          <w:rPr>
            <w:noProof/>
            <w:webHidden/>
          </w:rPr>
          <w:instrText xml:space="preserve"> PAGEREF _Toc496702672 \h </w:instrText>
        </w:r>
        <w:r w:rsidR="007877CC">
          <w:rPr>
            <w:noProof/>
            <w:webHidden/>
          </w:rPr>
        </w:r>
        <w:r w:rsidR="007877CC">
          <w:rPr>
            <w:noProof/>
            <w:webHidden/>
          </w:rPr>
          <w:fldChar w:fldCharType="separate"/>
        </w:r>
        <w:r w:rsidR="0099201F">
          <w:rPr>
            <w:noProof/>
            <w:webHidden/>
          </w:rPr>
          <w:t>27</w:t>
        </w:r>
        <w:r w:rsidR="007877CC">
          <w:rPr>
            <w:noProof/>
            <w:webHidden/>
          </w:rPr>
          <w:fldChar w:fldCharType="end"/>
        </w:r>
      </w:hyperlink>
    </w:p>
    <w:p w:rsidR="007C64B4" w:rsidRDefault="007C64B4" w:rsidP="007C64B4">
      <w:pPr>
        <w:rPr>
          <w:b/>
          <w:bCs/>
          <w:u w:val="single"/>
        </w:rPr>
      </w:pPr>
      <w:r>
        <w:rPr>
          <w:b/>
          <w:bCs/>
          <w:u w:val="single"/>
        </w:rPr>
        <w:fldChar w:fldCharType="end"/>
      </w:r>
    </w:p>
    <w:p w:rsidR="007C64B4" w:rsidRDefault="007C64B4" w:rsidP="007C64B4">
      <w:pPr>
        <w:rPr>
          <w:b/>
          <w:bCs/>
          <w:u w:val="single"/>
          <w:lang w:val="en-GB"/>
        </w:rPr>
      </w:pPr>
    </w:p>
    <w:p w:rsidR="007C64B4" w:rsidRDefault="007C64B4" w:rsidP="007C64B4">
      <w:pPr>
        <w:rPr>
          <w:b/>
          <w:bCs/>
          <w:u w:val="single"/>
          <w:lang w:val="en-GB" w:eastAsia="en-US"/>
        </w:rPr>
      </w:pPr>
      <w:r>
        <w:rPr>
          <w:b/>
          <w:bCs/>
          <w:u w:val="single"/>
        </w:rPr>
        <w:br w:type="page"/>
      </w:r>
    </w:p>
    <w:p w:rsidR="007C64B4" w:rsidRPr="00B92FA1" w:rsidRDefault="007C64B4" w:rsidP="007C64B4">
      <w:pPr>
        <w:pStyle w:val="Paragraphedeliste"/>
        <w:numPr>
          <w:ilvl w:val="0"/>
          <w:numId w:val="9"/>
        </w:numPr>
        <w:outlineLvl w:val="0"/>
        <w:rPr>
          <w:rFonts w:ascii="Times New Roman" w:hAnsi="Times New Roman"/>
          <w:b/>
          <w:bCs/>
          <w:sz w:val="24"/>
          <w:szCs w:val="24"/>
          <w:u w:val="single"/>
        </w:rPr>
      </w:pPr>
      <w:bookmarkStart w:id="2" w:name="__RefHeading__5317_1151380434"/>
      <w:bookmarkStart w:id="3" w:name="_Toc494177950"/>
      <w:bookmarkStart w:id="4" w:name="_Toc495652227"/>
      <w:bookmarkStart w:id="5" w:name="_Toc496702650"/>
      <w:bookmarkEnd w:id="2"/>
      <w:r w:rsidRPr="00B92FA1">
        <w:rPr>
          <w:rFonts w:ascii="Times New Roman" w:hAnsi="Times New Roman"/>
          <w:b/>
          <w:bCs/>
          <w:sz w:val="24"/>
          <w:szCs w:val="24"/>
          <w:u w:val="single"/>
        </w:rPr>
        <w:lastRenderedPageBreak/>
        <w:t>Introduction</w:t>
      </w:r>
      <w:bookmarkEnd w:id="3"/>
      <w:bookmarkEnd w:id="4"/>
      <w:bookmarkEnd w:id="5"/>
    </w:p>
    <w:p w:rsidR="007C64B4" w:rsidRPr="00B92FA1" w:rsidRDefault="007C64B4" w:rsidP="007C64B4">
      <w:pPr>
        <w:pStyle w:val="Paragraphedeliste"/>
        <w:numPr>
          <w:ilvl w:val="0"/>
          <w:numId w:val="13"/>
        </w:numPr>
        <w:ind w:hanging="578"/>
        <w:jc w:val="both"/>
        <w:rPr>
          <w:rFonts w:ascii="Times New Roman" w:hAnsi="Times New Roman"/>
          <w:b/>
          <w:bCs/>
        </w:rPr>
      </w:pPr>
      <w:r w:rsidRPr="00B92FA1">
        <w:rPr>
          <w:rFonts w:ascii="Times New Roman" w:hAnsi="Times New Roman"/>
          <w:b/>
          <w:bCs/>
          <w:color w:val="000000" w:themeColor="text1"/>
        </w:rPr>
        <w:t xml:space="preserve">Main purpose </w:t>
      </w:r>
      <w:r>
        <w:rPr>
          <w:rFonts w:ascii="Times New Roman" w:hAnsi="Times New Roman"/>
          <w:b/>
          <w:bCs/>
          <w:color w:val="000000" w:themeColor="text1"/>
        </w:rPr>
        <w:t xml:space="preserve">and structure </w:t>
      </w:r>
      <w:r w:rsidRPr="00B92FA1">
        <w:rPr>
          <w:rFonts w:ascii="Times New Roman" w:hAnsi="Times New Roman"/>
          <w:b/>
          <w:bCs/>
          <w:color w:val="000000" w:themeColor="text1"/>
        </w:rPr>
        <w:t>of the paper</w:t>
      </w:r>
    </w:p>
    <w:p w:rsidR="007C64B4" w:rsidRPr="00B92FA1" w:rsidRDefault="007C64B4" w:rsidP="007C64B4">
      <w:pPr>
        <w:jc w:val="both"/>
        <w:rPr>
          <w:lang w:val="en-GB"/>
        </w:rPr>
      </w:pPr>
      <w:r w:rsidRPr="00B92FA1">
        <w:rPr>
          <w:lang w:val="en-GB"/>
        </w:rPr>
        <w:t xml:space="preserve">This paper provides an overview </w:t>
      </w:r>
      <w:r>
        <w:rPr>
          <w:lang w:val="en-GB"/>
        </w:rPr>
        <w:t>of</w:t>
      </w:r>
      <w:r w:rsidRPr="00B92FA1">
        <w:rPr>
          <w:lang w:val="en-GB"/>
        </w:rPr>
        <w:t xml:space="preserve"> the charging </w:t>
      </w:r>
      <w:r>
        <w:rPr>
          <w:lang w:val="en-GB"/>
        </w:rPr>
        <w:t xml:space="preserve">practices for access to services supplied in some </w:t>
      </w:r>
      <w:r w:rsidRPr="00B92FA1">
        <w:rPr>
          <w:lang w:val="en-GB"/>
        </w:rPr>
        <w:t xml:space="preserve">of </w:t>
      </w:r>
      <w:r>
        <w:rPr>
          <w:lang w:val="en-GB"/>
        </w:rPr>
        <w:t xml:space="preserve">the </w:t>
      </w:r>
      <w:r w:rsidRPr="00B92FA1">
        <w:rPr>
          <w:lang w:val="en-GB"/>
        </w:rPr>
        <w:t>service facilities within the IRG-Rail</w:t>
      </w:r>
      <w:r>
        <w:rPr>
          <w:lang w:val="en-GB"/>
        </w:rPr>
        <w:t xml:space="preserve"> members’ states</w:t>
      </w:r>
      <w:r w:rsidRPr="00B92FA1">
        <w:rPr>
          <w:lang w:val="en-GB"/>
        </w:rPr>
        <w:t xml:space="preserve">. In 2016 </w:t>
      </w:r>
      <w:r>
        <w:rPr>
          <w:lang w:val="en-GB"/>
        </w:rPr>
        <w:t>the subgroup</w:t>
      </w:r>
      <w:r w:rsidRPr="00B92FA1">
        <w:rPr>
          <w:lang w:val="en-GB"/>
        </w:rPr>
        <w:t xml:space="preserve"> </w:t>
      </w:r>
      <w:r>
        <w:rPr>
          <w:lang w:val="en-GB"/>
        </w:rPr>
        <w:t xml:space="preserve">created </w:t>
      </w:r>
      <w:r w:rsidRPr="00B92FA1">
        <w:rPr>
          <w:lang w:val="en-GB"/>
        </w:rPr>
        <w:t>a questionnaire</w:t>
      </w:r>
      <w:r>
        <w:rPr>
          <w:lang w:val="en-GB"/>
        </w:rPr>
        <w:t xml:space="preserve"> </w:t>
      </w:r>
      <w:r w:rsidRPr="00B92FA1">
        <w:rPr>
          <w:lang w:val="en-GB"/>
        </w:rPr>
        <w:t>to capture the charging</w:t>
      </w:r>
      <w:r>
        <w:rPr>
          <w:lang w:val="en-GB"/>
        </w:rPr>
        <w:t xml:space="preserve"> practices</w:t>
      </w:r>
      <w:r w:rsidRPr="00B92FA1">
        <w:rPr>
          <w:lang w:val="en-GB"/>
        </w:rPr>
        <w:t xml:space="preserve"> of </w:t>
      </w:r>
      <w:r>
        <w:rPr>
          <w:lang w:val="en-GB"/>
        </w:rPr>
        <w:t xml:space="preserve">the operators of </w:t>
      </w:r>
      <w:r w:rsidRPr="00B92FA1">
        <w:rPr>
          <w:lang w:val="en-GB"/>
        </w:rPr>
        <w:t>service facilities</w:t>
      </w:r>
      <w:r>
        <w:rPr>
          <w:lang w:val="en-GB"/>
        </w:rPr>
        <w:t xml:space="preserve"> among</w:t>
      </w:r>
      <w:r w:rsidRPr="00B92FA1">
        <w:rPr>
          <w:lang w:val="en-GB"/>
        </w:rPr>
        <w:t xml:space="preserve"> the </w:t>
      </w:r>
      <w:r>
        <w:rPr>
          <w:lang w:val="en-GB"/>
        </w:rPr>
        <w:t xml:space="preserve">IRG-Rail </w:t>
      </w:r>
      <w:r w:rsidRPr="00B92FA1">
        <w:rPr>
          <w:lang w:val="en-GB"/>
        </w:rPr>
        <w:t>members</w:t>
      </w:r>
      <w:r>
        <w:rPr>
          <w:lang w:val="en-GB"/>
        </w:rPr>
        <w:t>’ railway networks</w:t>
      </w:r>
      <w:r w:rsidRPr="00B92FA1">
        <w:rPr>
          <w:lang w:val="en-GB"/>
        </w:rPr>
        <w:t>. Eighteen member</w:t>
      </w:r>
      <w:r>
        <w:rPr>
          <w:lang w:val="en-GB"/>
        </w:rPr>
        <w:t>s</w:t>
      </w:r>
      <w:r w:rsidRPr="00B92FA1">
        <w:rPr>
          <w:lang w:val="en-GB"/>
        </w:rPr>
        <w:t xml:space="preserve"> </w:t>
      </w:r>
      <w:r>
        <w:rPr>
          <w:lang w:val="en-GB"/>
        </w:rPr>
        <w:t>replied</w:t>
      </w:r>
      <w:r w:rsidRPr="00B92FA1">
        <w:rPr>
          <w:lang w:val="en-GB"/>
        </w:rPr>
        <w:t xml:space="preserve"> to this questionnaire and this paper </w:t>
      </w:r>
      <w:r>
        <w:rPr>
          <w:lang w:val="en-GB"/>
        </w:rPr>
        <w:t xml:space="preserve">aims at </w:t>
      </w:r>
      <w:r w:rsidRPr="00B92FA1">
        <w:rPr>
          <w:lang w:val="en-GB"/>
        </w:rPr>
        <w:t>compar</w:t>
      </w:r>
      <w:r>
        <w:rPr>
          <w:lang w:val="en-GB"/>
        </w:rPr>
        <w:t>ing</w:t>
      </w:r>
      <w:r w:rsidRPr="00B92FA1">
        <w:rPr>
          <w:lang w:val="en-GB"/>
        </w:rPr>
        <w:t xml:space="preserve"> and analys</w:t>
      </w:r>
      <w:r>
        <w:rPr>
          <w:lang w:val="en-GB"/>
        </w:rPr>
        <w:t>ing</w:t>
      </w:r>
      <w:r w:rsidRPr="00B92FA1">
        <w:rPr>
          <w:lang w:val="en-GB"/>
        </w:rPr>
        <w:t xml:space="preserve"> </w:t>
      </w:r>
      <w:r>
        <w:rPr>
          <w:lang w:val="en-GB"/>
        </w:rPr>
        <w:t>their responses</w:t>
      </w:r>
      <w:r w:rsidRPr="00B92FA1">
        <w:rPr>
          <w:lang w:val="en-GB"/>
        </w:rPr>
        <w:t>.</w:t>
      </w:r>
      <w:r>
        <w:rPr>
          <w:lang w:val="en-GB"/>
        </w:rPr>
        <w:t xml:space="preserve"> The members completed the questionnaire in 2016 and updated their answers in 2017.</w:t>
      </w:r>
    </w:p>
    <w:p w:rsidR="007C64B4" w:rsidRPr="00B92FA1" w:rsidRDefault="007C64B4" w:rsidP="007C64B4">
      <w:pPr>
        <w:jc w:val="both"/>
        <w:rPr>
          <w:lang w:val="en-GB"/>
        </w:rPr>
      </w:pPr>
    </w:p>
    <w:p w:rsidR="007C64B4" w:rsidRPr="00B92FA1" w:rsidRDefault="007C64B4" w:rsidP="007C64B4">
      <w:pPr>
        <w:jc w:val="both"/>
        <w:rPr>
          <w:lang w:val="en-GB"/>
        </w:rPr>
      </w:pPr>
      <w:r>
        <w:rPr>
          <w:lang w:val="en-GB"/>
        </w:rPr>
        <w:t>After this introduction, the second section (II) of this paper covers t</w:t>
      </w:r>
      <w:r w:rsidRPr="00B92FA1">
        <w:rPr>
          <w:lang w:val="en-GB"/>
        </w:rPr>
        <w:t>he general question</w:t>
      </w:r>
      <w:r>
        <w:rPr>
          <w:lang w:val="en-GB"/>
        </w:rPr>
        <w:t>s in the questionnaire on accounting separation obligations</w:t>
      </w:r>
      <w:r w:rsidRPr="00B92FA1">
        <w:rPr>
          <w:lang w:val="en-GB"/>
        </w:rPr>
        <w:t xml:space="preserve"> and the </w:t>
      </w:r>
      <w:r>
        <w:rPr>
          <w:lang w:val="en-GB"/>
        </w:rPr>
        <w:t>powers</w:t>
      </w:r>
      <w:r w:rsidRPr="00B92FA1">
        <w:rPr>
          <w:lang w:val="en-GB"/>
        </w:rPr>
        <w:t xml:space="preserve"> of regulatory bod</w:t>
      </w:r>
      <w:r>
        <w:rPr>
          <w:lang w:val="en-GB"/>
        </w:rPr>
        <w:t>ies</w:t>
      </w:r>
      <w:r w:rsidRPr="00B92FA1">
        <w:rPr>
          <w:lang w:val="en-GB"/>
        </w:rPr>
        <w:t xml:space="preserve"> </w:t>
      </w:r>
      <w:r>
        <w:rPr>
          <w:lang w:val="en-GB"/>
        </w:rPr>
        <w:t>in this respect.</w:t>
      </w:r>
      <w:r w:rsidRPr="00B92FA1">
        <w:rPr>
          <w:lang w:val="en-GB"/>
        </w:rPr>
        <w:t xml:space="preserve"> The purpose is to </w:t>
      </w:r>
      <w:r>
        <w:rPr>
          <w:lang w:val="en-GB"/>
        </w:rPr>
        <w:t xml:space="preserve">find out </w:t>
      </w:r>
      <w:r w:rsidRPr="00B92FA1">
        <w:rPr>
          <w:lang w:val="en-GB"/>
        </w:rPr>
        <w:t xml:space="preserve">how many countries have transposed </w:t>
      </w:r>
      <w:r>
        <w:rPr>
          <w:lang w:val="en-GB"/>
        </w:rPr>
        <w:t>the provision of Article 13 of Directive 2012/34/EU (the</w:t>
      </w:r>
      <w:r w:rsidRPr="00B92FA1">
        <w:rPr>
          <w:lang w:val="en-GB"/>
        </w:rPr>
        <w:t xml:space="preserve"> </w:t>
      </w:r>
      <w:r>
        <w:rPr>
          <w:lang w:val="en-GB"/>
        </w:rPr>
        <w:t>R</w:t>
      </w:r>
      <w:r w:rsidRPr="00B92FA1">
        <w:rPr>
          <w:lang w:val="en-GB"/>
        </w:rPr>
        <w:t>ecast</w:t>
      </w:r>
      <w:r>
        <w:rPr>
          <w:lang w:val="en-GB"/>
        </w:rPr>
        <w:t>)</w:t>
      </w:r>
      <w:r w:rsidRPr="00B92FA1">
        <w:rPr>
          <w:lang w:val="en-GB"/>
        </w:rPr>
        <w:t xml:space="preserve"> into </w:t>
      </w:r>
      <w:r>
        <w:rPr>
          <w:lang w:val="en-GB"/>
        </w:rPr>
        <w:t xml:space="preserve">their </w:t>
      </w:r>
      <w:r w:rsidRPr="00B92FA1">
        <w:rPr>
          <w:lang w:val="en-GB"/>
        </w:rPr>
        <w:t>national law.</w:t>
      </w:r>
      <w:r>
        <w:rPr>
          <w:lang w:val="en-GB"/>
        </w:rPr>
        <w:t xml:space="preserve"> Furthermore, the second section of this paper analyses the different powers of regulatory bodies in relation to the regulation of charges for service facilities.</w:t>
      </w:r>
      <w:r w:rsidRPr="00B92FA1">
        <w:rPr>
          <w:lang w:val="en-GB"/>
        </w:rPr>
        <w:t xml:space="preserve"> </w:t>
      </w:r>
    </w:p>
    <w:p w:rsidR="007C64B4" w:rsidRPr="00B92FA1" w:rsidRDefault="007C64B4" w:rsidP="007C64B4">
      <w:pPr>
        <w:jc w:val="both"/>
        <w:rPr>
          <w:lang w:val="en-GB"/>
        </w:rPr>
      </w:pPr>
    </w:p>
    <w:p w:rsidR="007C64B4" w:rsidRDefault="007C64B4" w:rsidP="007C64B4">
      <w:pPr>
        <w:spacing w:after="240"/>
        <w:jc w:val="both"/>
        <w:rPr>
          <w:lang w:val="en-GB"/>
        </w:rPr>
      </w:pPr>
      <w:r w:rsidRPr="00B92FA1">
        <w:rPr>
          <w:lang w:val="en-GB"/>
        </w:rPr>
        <w:t xml:space="preserve">The </w:t>
      </w:r>
      <w:r>
        <w:rPr>
          <w:lang w:val="en-GB"/>
        </w:rPr>
        <w:t>third</w:t>
      </w:r>
      <w:r w:rsidRPr="00B92FA1">
        <w:rPr>
          <w:lang w:val="en-GB"/>
        </w:rPr>
        <w:t xml:space="preserve"> </w:t>
      </w:r>
      <w:r>
        <w:rPr>
          <w:lang w:val="en-GB"/>
        </w:rPr>
        <w:t>section</w:t>
      </w:r>
      <w:r w:rsidRPr="00B92FA1">
        <w:rPr>
          <w:lang w:val="en-GB"/>
        </w:rPr>
        <w:t xml:space="preserve"> </w:t>
      </w:r>
      <w:r>
        <w:rPr>
          <w:lang w:val="en-GB"/>
        </w:rPr>
        <w:t>(III)</w:t>
      </w:r>
      <w:r w:rsidRPr="00B92FA1">
        <w:rPr>
          <w:lang w:val="en-GB"/>
        </w:rPr>
        <w:t xml:space="preserve"> is the core of the paper</w:t>
      </w:r>
      <w:r>
        <w:rPr>
          <w:lang w:val="en-GB"/>
        </w:rPr>
        <w:t xml:space="preserve"> and provides a summary of the answers related to charges for access to services supplied by category of </w:t>
      </w:r>
      <w:r w:rsidRPr="00B92FA1">
        <w:rPr>
          <w:lang w:val="en-GB"/>
        </w:rPr>
        <w:t xml:space="preserve">service facility. </w:t>
      </w:r>
      <w:r>
        <w:rPr>
          <w:lang w:val="en-GB"/>
        </w:rPr>
        <w:t xml:space="preserve">We use the same </w:t>
      </w:r>
      <w:r w:rsidRPr="00B92FA1">
        <w:rPr>
          <w:lang w:val="en-GB"/>
        </w:rPr>
        <w:t>definition</w:t>
      </w:r>
      <w:r>
        <w:rPr>
          <w:lang w:val="en-GB"/>
        </w:rPr>
        <w:t>s</w:t>
      </w:r>
      <w:r w:rsidRPr="00B92FA1">
        <w:rPr>
          <w:lang w:val="en-GB"/>
        </w:rPr>
        <w:t xml:space="preserve"> </w:t>
      </w:r>
      <w:r>
        <w:rPr>
          <w:lang w:val="en-GB"/>
        </w:rPr>
        <w:t>for</w:t>
      </w:r>
      <w:r w:rsidRPr="00B92FA1">
        <w:rPr>
          <w:lang w:val="en-GB"/>
        </w:rPr>
        <w:t xml:space="preserve"> service facilities </w:t>
      </w:r>
      <w:r>
        <w:rPr>
          <w:lang w:val="en-GB"/>
        </w:rPr>
        <w:t xml:space="preserve">as agreed in </w:t>
      </w:r>
      <w:r w:rsidRPr="00B92FA1">
        <w:rPr>
          <w:lang w:val="en-GB"/>
        </w:rPr>
        <w:t xml:space="preserve">the </w:t>
      </w:r>
      <w:r>
        <w:rPr>
          <w:lang w:val="en-GB"/>
        </w:rPr>
        <w:t>IRG-Rail m</w:t>
      </w:r>
      <w:r w:rsidRPr="00B92FA1">
        <w:rPr>
          <w:lang w:val="en-GB"/>
        </w:rPr>
        <w:t>arket monitoring gro</w:t>
      </w:r>
      <w:r>
        <w:rPr>
          <w:lang w:val="en-GB"/>
        </w:rPr>
        <w:t>up, as follows</w:t>
      </w:r>
      <w:r w:rsidRPr="00B92FA1">
        <w:rPr>
          <w:lang w:val="en-GB"/>
        </w:rPr>
        <w:t xml:space="preserve">: </w:t>
      </w:r>
      <w:r>
        <w:rPr>
          <w:lang w:val="en-GB"/>
        </w:rPr>
        <w:t>p</w:t>
      </w:r>
      <w:r w:rsidRPr="00B92FA1">
        <w:rPr>
          <w:lang w:val="en-GB"/>
        </w:rPr>
        <w:t xml:space="preserve">assenger stations, </w:t>
      </w:r>
      <w:r>
        <w:rPr>
          <w:lang w:val="en-GB"/>
        </w:rPr>
        <w:t>i</w:t>
      </w:r>
      <w:r w:rsidRPr="00B92FA1">
        <w:rPr>
          <w:lang w:val="en-GB"/>
        </w:rPr>
        <w:t xml:space="preserve">ntermodal freight terminals, </w:t>
      </w:r>
      <w:r>
        <w:rPr>
          <w:lang w:val="en-GB"/>
        </w:rPr>
        <w:t>m</w:t>
      </w:r>
      <w:r w:rsidRPr="00B92FA1">
        <w:rPr>
          <w:lang w:val="en-GB"/>
        </w:rPr>
        <w:t xml:space="preserve">arshalling yards with gravity hills, </w:t>
      </w:r>
      <w:r>
        <w:rPr>
          <w:lang w:val="en-GB"/>
        </w:rPr>
        <w:t>m</w:t>
      </w:r>
      <w:r w:rsidRPr="00B92FA1">
        <w:rPr>
          <w:lang w:val="en-GB"/>
        </w:rPr>
        <w:t xml:space="preserve">aintenance facilities and </w:t>
      </w:r>
      <w:r>
        <w:rPr>
          <w:lang w:val="en-GB"/>
        </w:rPr>
        <w:t>r</w:t>
      </w:r>
      <w:r w:rsidRPr="00B92FA1">
        <w:rPr>
          <w:lang w:val="en-GB"/>
        </w:rPr>
        <w:t xml:space="preserve">efuelling facilities. </w:t>
      </w:r>
      <w:r>
        <w:rPr>
          <w:lang w:val="en-GB"/>
        </w:rPr>
        <w:t xml:space="preserve">These service facilities were selected because they are the most common service facilities within the IRG-Rail members and the regulatory bodies have the most experience in regulating them. </w:t>
      </w:r>
      <w:r w:rsidRPr="00B92FA1">
        <w:rPr>
          <w:lang w:val="en-GB"/>
        </w:rPr>
        <w:t xml:space="preserve">The aim of using the same </w:t>
      </w:r>
      <w:r w:rsidRPr="001C2D22">
        <w:rPr>
          <w:lang w:val="en-US"/>
        </w:rPr>
        <w:t>definitions</w:t>
      </w:r>
      <w:r w:rsidRPr="00B92FA1">
        <w:rPr>
          <w:lang w:val="en-GB"/>
        </w:rPr>
        <w:t xml:space="preserve"> </w:t>
      </w:r>
      <w:r>
        <w:rPr>
          <w:lang w:val="en-GB"/>
        </w:rPr>
        <w:t>as</w:t>
      </w:r>
      <w:r w:rsidRPr="00B92FA1">
        <w:rPr>
          <w:lang w:val="en-GB"/>
        </w:rPr>
        <w:t xml:space="preserve"> the </w:t>
      </w:r>
      <w:r>
        <w:rPr>
          <w:lang w:val="en-GB"/>
        </w:rPr>
        <w:t>m</w:t>
      </w:r>
      <w:r w:rsidRPr="00B92FA1">
        <w:rPr>
          <w:lang w:val="en-GB"/>
        </w:rPr>
        <w:t xml:space="preserve">arket monitoring group </w:t>
      </w:r>
      <w:r>
        <w:rPr>
          <w:lang w:val="en-GB"/>
        </w:rPr>
        <w:t>is</w:t>
      </w:r>
      <w:r w:rsidRPr="00B92FA1">
        <w:rPr>
          <w:lang w:val="en-GB"/>
        </w:rPr>
        <w:t xml:space="preserve"> to </w:t>
      </w:r>
      <w:r>
        <w:rPr>
          <w:lang w:val="en-GB"/>
        </w:rPr>
        <w:t>facilitate</w:t>
      </w:r>
      <w:r w:rsidRPr="00B92FA1">
        <w:rPr>
          <w:lang w:val="en-GB"/>
        </w:rPr>
        <w:t xml:space="preserve"> comparison</w:t>
      </w:r>
      <w:r>
        <w:rPr>
          <w:lang w:val="en-GB"/>
        </w:rPr>
        <w:t xml:space="preserve"> across IRG-Rail members with regard to the assessed data. The definitions used in this paper are not legal definitions and therefore have no legal perspective whatsoever.</w:t>
      </w:r>
    </w:p>
    <w:p w:rsidR="007C64B4" w:rsidRDefault="007C64B4" w:rsidP="007C64B4">
      <w:pPr>
        <w:spacing w:after="240"/>
        <w:jc w:val="both"/>
        <w:rPr>
          <w:lang w:val="en-GB"/>
        </w:rPr>
      </w:pPr>
      <w:r>
        <w:rPr>
          <w:lang w:val="en-GB"/>
        </w:rPr>
        <w:t>The following table contains the definitions of the investigated service facilities as presented in Annex I of the IRG-Rail market monitoring report for the year 2015:</w:t>
      </w:r>
    </w:p>
    <w:tbl>
      <w:tblPr>
        <w:tblStyle w:val="Grilledutableau"/>
        <w:tblW w:w="9322" w:type="dxa"/>
        <w:tblLook w:val="04A0" w:firstRow="1" w:lastRow="0" w:firstColumn="1" w:lastColumn="0" w:noHBand="0" w:noVBand="1"/>
      </w:tblPr>
      <w:tblGrid>
        <w:gridCol w:w="2235"/>
        <w:gridCol w:w="7087"/>
      </w:tblGrid>
      <w:tr w:rsidR="007C64B4" w:rsidTr="007C64B4">
        <w:tc>
          <w:tcPr>
            <w:tcW w:w="2235" w:type="dxa"/>
          </w:tcPr>
          <w:p w:rsidR="007C64B4" w:rsidRDefault="007C64B4" w:rsidP="007C64B4">
            <w:pPr>
              <w:keepNext/>
              <w:jc w:val="both"/>
              <w:rPr>
                <w:lang w:val="en-GB"/>
              </w:rPr>
            </w:pPr>
            <w:r>
              <w:rPr>
                <w:lang w:val="en-GB"/>
              </w:rPr>
              <w:t>Passenger stations</w:t>
            </w:r>
          </w:p>
        </w:tc>
        <w:tc>
          <w:tcPr>
            <w:tcW w:w="7087" w:type="dxa"/>
          </w:tcPr>
          <w:p w:rsidR="007C64B4" w:rsidRPr="007230C8" w:rsidRDefault="007C64B4" w:rsidP="007C64B4">
            <w:pPr>
              <w:pStyle w:val="Default"/>
              <w:keepNext/>
              <w:jc w:val="both"/>
              <w:rPr>
                <w:rFonts w:ascii="Times New Roman" w:hAnsi="Times New Roman" w:cs="Times New Roman"/>
                <w:color w:val="auto"/>
                <w:lang w:val="en-GB"/>
              </w:rPr>
            </w:pPr>
            <w:r w:rsidRPr="007230C8">
              <w:rPr>
                <w:rFonts w:ascii="Times New Roman" w:hAnsi="Times New Roman" w:cs="Times New Roman"/>
                <w:color w:val="auto"/>
                <w:lang w:val="en-GB"/>
              </w:rPr>
              <w:t>Facilities where passengers can embark and disembark a passenger train. Stations not in use are excluded.</w:t>
            </w:r>
          </w:p>
        </w:tc>
      </w:tr>
      <w:tr w:rsidR="007C64B4" w:rsidRPr="00282239" w:rsidTr="007C64B4">
        <w:tc>
          <w:tcPr>
            <w:tcW w:w="2235" w:type="dxa"/>
          </w:tcPr>
          <w:p w:rsidR="007C64B4" w:rsidRDefault="007C64B4" w:rsidP="007C64B4">
            <w:pPr>
              <w:keepNext/>
              <w:jc w:val="both"/>
              <w:rPr>
                <w:lang w:val="en-GB"/>
              </w:rPr>
            </w:pPr>
            <w:r w:rsidRPr="007230C8">
              <w:rPr>
                <w:lang w:val="en-GB"/>
              </w:rPr>
              <w:t xml:space="preserve">Intermodal freight terminals </w:t>
            </w:r>
          </w:p>
        </w:tc>
        <w:tc>
          <w:tcPr>
            <w:tcW w:w="7087" w:type="dxa"/>
          </w:tcPr>
          <w:p w:rsidR="007C64B4" w:rsidRPr="007230C8" w:rsidRDefault="007C64B4" w:rsidP="007C64B4">
            <w:pPr>
              <w:keepNext/>
              <w:jc w:val="both"/>
              <w:rPr>
                <w:lang w:val="en-GB"/>
              </w:rPr>
            </w:pPr>
            <w:r w:rsidRPr="007230C8">
              <w:rPr>
                <w:lang w:val="en-GB"/>
              </w:rPr>
              <w:t xml:space="preserve">Facilities in rail freight transport which are specifically built for intermodal transport (container, swap bodies, semitrailer). </w:t>
            </w:r>
          </w:p>
        </w:tc>
      </w:tr>
      <w:tr w:rsidR="007C64B4" w:rsidRPr="00282239" w:rsidTr="007C64B4">
        <w:tc>
          <w:tcPr>
            <w:tcW w:w="2235" w:type="dxa"/>
          </w:tcPr>
          <w:p w:rsidR="007C64B4" w:rsidRDefault="007C64B4" w:rsidP="007C64B4">
            <w:pPr>
              <w:keepNext/>
              <w:jc w:val="both"/>
              <w:rPr>
                <w:lang w:val="en-GB"/>
              </w:rPr>
            </w:pPr>
            <w:r w:rsidRPr="007230C8">
              <w:rPr>
                <w:lang w:val="en-GB"/>
              </w:rPr>
              <w:t xml:space="preserve">Marshalling yards with gravity hills </w:t>
            </w:r>
          </w:p>
        </w:tc>
        <w:tc>
          <w:tcPr>
            <w:tcW w:w="7087" w:type="dxa"/>
          </w:tcPr>
          <w:p w:rsidR="007C64B4" w:rsidRPr="007230C8" w:rsidRDefault="007C64B4" w:rsidP="007C64B4">
            <w:pPr>
              <w:keepNext/>
              <w:jc w:val="both"/>
              <w:rPr>
                <w:lang w:val="en-GB"/>
              </w:rPr>
            </w:pPr>
            <w:r w:rsidRPr="007230C8">
              <w:rPr>
                <w:lang w:val="en-GB"/>
              </w:rPr>
              <w:t xml:space="preserve">Facilities for the formation, sorting, rearranging, solving and treatment of trains and which use gravity as a means of formation or rearrangement of trains. </w:t>
            </w:r>
          </w:p>
        </w:tc>
      </w:tr>
      <w:tr w:rsidR="007C64B4" w:rsidTr="007C64B4">
        <w:tc>
          <w:tcPr>
            <w:tcW w:w="2235" w:type="dxa"/>
          </w:tcPr>
          <w:p w:rsidR="007C64B4" w:rsidRDefault="007C64B4" w:rsidP="007C64B4">
            <w:pPr>
              <w:keepNext/>
              <w:jc w:val="both"/>
              <w:rPr>
                <w:lang w:val="en-GB"/>
              </w:rPr>
            </w:pPr>
            <w:r w:rsidRPr="007230C8">
              <w:rPr>
                <w:lang w:val="en-GB"/>
              </w:rPr>
              <w:t>Maintenance facilities</w:t>
            </w:r>
          </w:p>
        </w:tc>
        <w:tc>
          <w:tcPr>
            <w:tcW w:w="7087" w:type="dxa"/>
          </w:tcPr>
          <w:p w:rsidR="007C64B4" w:rsidRDefault="007C64B4" w:rsidP="007C64B4">
            <w:pPr>
              <w:keepNext/>
              <w:jc w:val="both"/>
              <w:rPr>
                <w:lang w:val="en-GB"/>
              </w:rPr>
            </w:pPr>
            <w:r w:rsidRPr="007230C8">
              <w:rPr>
                <w:lang w:val="en-GB"/>
              </w:rPr>
              <w:t>Facilities where rolling stock is maintained. Maintenance is the set of activities designed to keep rolling stock in operation. This includes both, heavy and light maintenance.</w:t>
            </w:r>
          </w:p>
        </w:tc>
      </w:tr>
      <w:tr w:rsidR="007C64B4" w:rsidRPr="00282239" w:rsidTr="00FD32FA">
        <w:trPr>
          <w:trHeight w:val="341"/>
        </w:trPr>
        <w:tc>
          <w:tcPr>
            <w:tcW w:w="2235" w:type="dxa"/>
          </w:tcPr>
          <w:p w:rsidR="007C64B4" w:rsidRDefault="007C64B4" w:rsidP="007C64B4">
            <w:pPr>
              <w:keepNext/>
              <w:jc w:val="both"/>
              <w:rPr>
                <w:lang w:val="en-GB"/>
              </w:rPr>
            </w:pPr>
            <w:r w:rsidRPr="007230C8">
              <w:rPr>
                <w:lang w:val="en-GB"/>
              </w:rPr>
              <w:t>Refuelling facilities</w:t>
            </w:r>
          </w:p>
        </w:tc>
        <w:tc>
          <w:tcPr>
            <w:tcW w:w="7087" w:type="dxa"/>
          </w:tcPr>
          <w:p w:rsidR="007C64B4" w:rsidRDefault="007C64B4" w:rsidP="007C64B4">
            <w:pPr>
              <w:keepNext/>
              <w:jc w:val="both"/>
              <w:rPr>
                <w:lang w:val="en-GB"/>
              </w:rPr>
            </w:pPr>
            <w:r w:rsidRPr="007230C8">
              <w:rPr>
                <w:lang w:val="en-GB"/>
              </w:rPr>
              <w:t>Station for refuelling for locomotives and multiple units</w:t>
            </w:r>
          </w:p>
        </w:tc>
      </w:tr>
    </w:tbl>
    <w:p w:rsidR="007C64B4" w:rsidRPr="00014B56" w:rsidRDefault="007C64B4" w:rsidP="007C64B4">
      <w:pPr>
        <w:pStyle w:val="Lgende"/>
        <w:keepNext/>
        <w:jc w:val="center"/>
        <w:rPr>
          <w:b w:val="0"/>
          <w:color w:val="auto"/>
          <w:sz w:val="20"/>
          <w:lang w:val="en-GB"/>
        </w:rPr>
      </w:pPr>
      <w:r w:rsidRPr="00014B56">
        <w:rPr>
          <w:b w:val="0"/>
          <w:color w:val="auto"/>
          <w:sz w:val="20"/>
          <w:lang w:val="en-GB"/>
        </w:rPr>
        <w:t xml:space="preserve">Table </w:t>
      </w:r>
      <w:r w:rsidRPr="00014B56">
        <w:rPr>
          <w:b w:val="0"/>
          <w:color w:val="auto"/>
          <w:sz w:val="20"/>
          <w:lang w:val="en-GB"/>
        </w:rPr>
        <w:fldChar w:fldCharType="begin"/>
      </w:r>
      <w:r w:rsidRPr="00014B56">
        <w:rPr>
          <w:b w:val="0"/>
          <w:color w:val="auto"/>
          <w:sz w:val="20"/>
          <w:lang w:val="en-GB"/>
        </w:rPr>
        <w:instrText xml:space="preserve"> SEQ Table \* ARABIC </w:instrText>
      </w:r>
      <w:r w:rsidRPr="00014B56">
        <w:rPr>
          <w:b w:val="0"/>
          <w:color w:val="auto"/>
          <w:sz w:val="20"/>
          <w:lang w:val="en-GB"/>
        </w:rPr>
        <w:fldChar w:fldCharType="separate"/>
      </w:r>
      <w:r w:rsidR="0099201F">
        <w:rPr>
          <w:b w:val="0"/>
          <w:noProof/>
          <w:color w:val="auto"/>
          <w:sz w:val="20"/>
          <w:lang w:val="en-GB"/>
        </w:rPr>
        <w:t>1</w:t>
      </w:r>
      <w:r w:rsidRPr="00014B56">
        <w:rPr>
          <w:b w:val="0"/>
          <w:color w:val="auto"/>
          <w:sz w:val="20"/>
          <w:lang w:val="en-GB"/>
        </w:rPr>
        <w:fldChar w:fldCharType="end"/>
      </w:r>
      <w:r w:rsidRPr="00014B56">
        <w:rPr>
          <w:b w:val="0"/>
          <w:color w:val="auto"/>
          <w:sz w:val="20"/>
          <w:lang w:val="en-GB"/>
        </w:rPr>
        <w:t>: Definitions of service facilities from the market monitoring report for the year 2015</w:t>
      </w:r>
    </w:p>
    <w:p w:rsidR="007C64B4" w:rsidRDefault="007C64B4" w:rsidP="007C64B4">
      <w:pPr>
        <w:jc w:val="both"/>
        <w:rPr>
          <w:lang w:val="en-GB"/>
        </w:rPr>
      </w:pPr>
      <w:r>
        <w:rPr>
          <w:lang w:val="en-GB"/>
        </w:rPr>
        <w:t xml:space="preserve">As some service facilities are either not present or not regulated in certain countries, all </w:t>
      </w:r>
      <w:r w:rsidRPr="00B92FA1">
        <w:rPr>
          <w:lang w:val="en-GB"/>
        </w:rPr>
        <w:t>member</w:t>
      </w:r>
      <w:r>
        <w:rPr>
          <w:lang w:val="en-GB"/>
        </w:rPr>
        <w:t>s</w:t>
      </w:r>
      <w:r w:rsidRPr="00B92FA1">
        <w:rPr>
          <w:lang w:val="en-GB"/>
        </w:rPr>
        <w:t xml:space="preserve"> </w:t>
      </w:r>
      <w:r>
        <w:rPr>
          <w:lang w:val="en-GB"/>
        </w:rPr>
        <w:t xml:space="preserve">have not been able to </w:t>
      </w:r>
      <w:r w:rsidRPr="00B92FA1">
        <w:rPr>
          <w:lang w:val="en-GB"/>
        </w:rPr>
        <w:t xml:space="preserve">answer </w:t>
      </w:r>
      <w:r>
        <w:rPr>
          <w:lang w:val="en-GB"/>
        </w:rPr>
        <w:t>all</w:t>
      </w:r>
      <w:r w:rsidRPr="00B92FA1">
        <w:rPr>
          <w:lang w:val="en-GB"/>
        </w:rPr>
        <w:t xml:space="preserve"> question</w:t>
      </w:r>
      <w:r>
        <w:rPr>
          <w:lang w:val="en-GB"/>
        </w:rPr>
        <w:t>s</w:t>
      </w:r>
      <w:r w:rsidRPr="00B92FA1">
        <w:rPr>
          <w:lang w:val="en-GB"/>
        </w:rPr>
        <w:t>.</w:t>
      </w:r>
    </w:p>
    <w:p w:rsidR="007C64B4" w:rsidRDefault="007C64B4" w:rsidP="007C64B4">
      <w:pPr>
        <w:jc w:val="both"/>
        <w:rPr>
          <w:lang w:val="en-GB"/>
        </w:rPr>
      </w:pPr>
    </w:p>
    <w:p w:rsidR="007C64B4" w:rsidRPr="00B92FA1" w:rsidRDefault="007C64B4" w:rsidP="007C64B4">
      <w:pPr>
        <w:jc w:val="both"/>
        <w:rPr>
          <w:lang w:val="en-GB"/>
        </w:rPr>
      </w:pPr>
      <w:r>
        <w:rPr>
          <w:lang w:val="en-GB"/>
        </w:rPr>
        <w:lastRenderedPageBreak/>
        <w:t>Finally, t</w:t>
      </w:r>
      <w:r w:rsidRPr="00B92FA1">
        <w:rPr>
          <w:lang w:val="en-GB"/>
        </w:rPr>
        <w:t>he Annex</w:t>
      </w:r>
      <w:r>
        <w:rPr>
          <w:lang w:val="en-GB"/>
        </w:rPr>
        <w:t xml:space="preserve"> to this paper provides</w:t>
      </w:r>
      <w:r w:rsidRPr="00B92FA1">
        <w:rPr>
          <w:lang w:val="en-GB"/>
        </w:rPr>
        <w:t xml:space="preserve"> additional information </w:t>
      </w:r>
      <w:r>
        <w:rPr>
          <w:lang w:val="en-GB"/>
        </w:rPr>
        <w:t>for each</w:t>
      </w:r>
      <w:r w:rsidRPr="00B92FA1">
        <w:rPr>
          <w:lang w:val="en-GB"/>
        </w:rPr>
        <w:t xml:space="preserve"> </w:t>
      </w:r>
      <w:r w:rsidRPr="00B74744">
        <w:rPr>
          <w:lang w:val="en-GB"/>
        </w:rPr>
        <w:t xml:space="preserve">participating IRG-Rail member </w:t>
      </w:r>
      <w:r w:rsidRPr="00B92FA1">
        <w:rPr>
          <w:lang w:val="en-GB"/>
        </w:rPr>
        <w:t xml:space="preserve">and </w:t>
      </w:r>
      <w:r>
        <w:rPr>
          <w:lang w:val="en-GB"/>
        </w:rPr>
        <w:t>lists the decisions of the IRG-Rail members in the last three years (2015-2017) on charges for access to service facilities and supply of rail-related services.</w:t>
      </w:r>
    </w:p>
    <w:p w:rsidR="007C64B4" w:rsidRDefault="007C64B4" w:rsidP="007C64B4">
      <w:pPr>
        <w:rPr>
          <w:b/>
          <w:bCs/>
          <w:color w:val="000000" w:themeColor="text1"/>
          <w:sz w:val="22"/>
          <w:szCs w:val="22"/>
          <w:lang w:val="en-GB" w:eastAsia="en-US"/>
        </w:rPr>
      </w:pPr>
    </w:p>
    <w:p w:rsidR="007C64B4" w:rsidRPr="00B92FA1" w:rsidRDefault="007C64B4" w:rsidP="007C64B4">
      <w:pPr>
        <w:pStyle w:val="Paragraphedeliste"/>
        <w:numPr>
          <w:ilvl w:val="0"/>
          <w:numId w:val="13"/>
        </w:numPr>
        <w:ind w:hanging="578"/>
        <w:jc w:val="both"/>
        <w:rPr>
          <w:rFonts w:ascii="Times New Roman" w:hAnsi="Times New Roman"/>
          <w:b/>
          <w:bCs/>
        </w:rPr>
      </w:pPr>
      <w:r w:rsidRPr="00B92FA1">
        <w:rPr>
          <w:rFonts w:ascii="Times New Roman" w:hAnsi="Times New Roman"/>
          <w:b/>
          <w:bCs/>
          <w:color w:val="000000" w:themeColor="text1"/>
        </w:rPr>
        <w:t>Background</w:t>
      </w:r>
    </w:p>
    <w:p w:rsidR="007C64B4" w:rsidRPr="00014B56" w:rsidRDefault="007C64B4" w:rsidP="007C64B4">
      <w:pPr>
        <w:spacing w:after="160"/>
        <w:jc w:val="both"/>
        <w:rPr>
          <w:lang w:val="en-US"/>
        </w:rPr>
      </w:pPr>
      <w:r w:rsidRPr="00B92FA1">
        <w:rPr>
          <w:lang w:val="en-GB"/>
        </w:rPr>
        <w:t xml:space="preserve">The </w:t>
      </w:r>
      <w:r>
        <w:rPr>
          <w:lang w:val="en-GB"/>
        </w:rPr>
        <w:t>Recast</w:t>
      </w:r>
      <w:r w:rsidRPr="00B92FA1">
        <w:rPr>
          <w:lang w:val="en-GB"/>
        </w:rPr>
        <w:t xml:space="preserve"> provides the basis for </w:t>
      </w:r>
      <w:r>
        <w:rPr>
          <w:lang w:val="en-GB"/>
        </w:rPr>
        <w:t xml:space="preserve">access to and </w:t>
      </w:r>
      <w:r w:rsidRPr="00B92FA1">
        <w:rPr>
          <w:lang w:val="en-GB"/>
        </w:rPr>
        <w:t>charging</w:t>
      </w:r>
      <w:r w:rsidRPr="00C16ECF">
        <w:rPr>
          <w:lang w:val="en-US"/>
        </w:rPr>
        <w:t xml:space="preserve"> </w:t>
      </w:r>
      <w:r w:rsidRPr="00C16ECF">
        <w:rPr>
          <w:lang w:val="en-GB"/>
        </w:rPr>
        <w:t xml:space="preserve">for </w:t>
      </w:r>
      <w:r>
        <w:rPr>
          <w:lang w:val="en-GB"/>
        </w:rPr>
        <w:t>services supplied in</w:t>
      </w:r>
      <w:r w:rsidRPr="00C16ECF">
        <w:rPr>
          <w:lang w:val="en-GB"/>
        </w:rPr>
        <w:t xml:space="preserve"> service facilities</w:t>
      </w:r>
      <w:r>
        <w:rPr>
          <w:lang w:val="en-GB"/>
        </w:rPr>
        <w:t>,</w:t>
      </w:r>
      <w:r w:rsidRPr="00C16ECF">
        <w:rPr>
          <w:lang w:val="en-GB"/>
        </w:rPr>
        <w:t xml:space="preserve"> referred to in point 2 of Annex II</w:t>
      </w:r>
      <w:r w:rsidRPr="00B92FA1">
        <w:rPr>
          <w:lang w:val="en-GB"/>
        </w:rPr>
        <w:t xml:space="preserve">. </w:t>
      </w:r>
      <w:r>
        <w:rPr>
          <w:lang w:val="en-GB"/>
        </w:rPr>
        <w:t>Several</w:t>
      </w:r>
      <w:r w:rsidRPr="00B92FA1">
        <w:rPr>
          <w:lang w:val="en-GB"/>
        </w:rPr>
        <w:t xml:space="preserve"> </w:t>
      </w:r>
      <w:r>
        <w:rPr>
          <w:lang w:val="en-GB"/>
        </w:rPr>
        <w:t>areas of the Recast</w:t>
      </w:r>
      <w:r w:rsidRPr="00B92FA1">
        <w:rPr>
          <w:lang w:val="en-GB"/>
        </w:rPr>
        <w:t xml:space="preserve"> are very important</w:t>
      </w:r>
      <w:r>
        <w:rPr>
          <w:lang w:val="en-GB"/>
        </w:rPr>
        <w:t xml:space="preserve"> for setting the legal basis for charges in service facilities: </w:t>
      </w:r>
    </w:p>
    <w:p w:rsidR="007C64B4" w:rsidRDefault="007C64B4" w:rsidP="007C64B4">
      <w:pPr>
        <w:pStyle w:val="Paragraphedeliste"/>
        <w:numPr>
          <w:ilvl w:val="0"/>
          <w:numId w:val="47"/>
        </w:numPr>
        <w:spacing w:after="160" w:line="240" w:lineRule="auto"/>
        <w:jc w:val="both"/>
        <w:rPr>
          <w:rFonts w:ascii="Times New Roman" w:hAnsi="Times New Roman"/>
          <w:sz w:val="24"/>
          <w:szCs w:val="24"/>
        </w:rPr>
      </w:pPr>
      <w:r w:rsidRPr="00EB7B3B">
        <w:rPr>
          <w:rFonts w:ascii="Times New Roman" w:hAnsi="Times New Roman"/>
          <w:sz w:val="24"/>
        </w:rPr>
        <w:t xml:space="preserve">Annex II </w:t>
      </w:r>
      <w:r w:rsidRPr="004B5DAB">
        <w:rPr>
          <w:rFonts w:ascii="Times New Roman" w:hAnsi="Times New Roman"/>
          <w:sz w:val="24"/>
        </w:rPr>
        <w:t>No. 2</w:t>
      </w:r>
      <w:r>
        <w:t xml:space="preserve"> </w:t>
      </w:r>
      <w:r w:rsidRPr="00EB7B3B">
        <w:rPr>
          <w:rFonts w:ascii="Times New Roman" w:hAnsi="Times New Roman"/>
          <w:sz w:val="24"/>
        </w:rPr>
        <w:t xml:space="preserve">enumerates a list of service facilities and sets the </w:t>
      </w:r>
      <w:r w:rsidRPr="00584E74">
        <w:rPr>
          <w:rFonts w:ascii="Times New Roman" w:hAnsi="Times New Roman"/>
          <w:sz w:val="24"/>
          <w:szCs w:val="24"/>
        </w:rPr>
        <w:t>frame</w:t>
      </w:r>
      <w:r>
        <w:rPr>
          <w:rFonts w:ascii="Times New Roman" w:hAnsi="Times New Roman"/>
          <w:sz w:val="24"/>
          <w:szCs w:val="24"/>
        </w:rPr>
        <w:t>work</w:t>
      </w:r>
      <w:r w:rsidRPr="00EB7B3B">
        <w:rPr>
          <w:rFonts w:ascii="Times New Roman" w:hAnsi="Times New Roman"/>
          <w:sz w:val="24"/>
        </w:rPr>
        <w:t xml:space="preserve"> for regulation. </w:t>
      </w:r>
    </w:p>
    <w:p w:rsidR="007C64B4" w:rsidRDefault="007C64B4" w:rsidP="007C64B4">
      <w:pPr>
        <w:pStyle w:val="Paragraphedeliste"/>
        <w:numPr>
          <w:ilvl w:val="0"/>
          <w:numId w:val="47"/>
        </w:numPr>
        <w:spacing w:after="160" w:line="240" w:lineRule="auto"/>
        <w:jc w:val="both"/>
        <w:rPr>
          <w:rFonts w:ascii="Times New Roman" w:hAnsi="Times New Roman"/>
          <w:sz w:val="24"/>
          <w:szCs w:val="24"/>
        </w:rPr>
      </w:pPr>
      <w:r w:rsidRPr="00EB7B3B">
        <w:rPr>
          <w:rFonts w:ascii="Times New Roman" w:hAnsi="Times New Roman"/>
          <w:sz w:val="24"/>
        </w:rPr>
        <w:t>Article 13</w:t>
      </w:r>
      <w:r>
        <w:rPr>
          <w:rFonts w:ascii="Times New Roman" w:hAnsi="Times New Roman"/>
          <w:sz w:val="24"/>
        </w:rPr>
        <w:t xml:space="preserve"> sets the obligations</w:t>
      </w:r>
      <w:r w:rsidRPr="00EB7B3B">
        <w:rPr>
          <w:rFonts w:ascii="Times New Roman" w:hAnsi="Times New Roman"/>
          <w:sz w:val="24"/>
        </w:rPr>
        <w:t xml:space="preserve">, </w:t>
      </w:r>
      <w:r>
        <w:rPr>
          <w:rFonts w:ascii="Times New Roman" w:hAnsi="Times New Roman"/>
          <w:sz w:val="24"/>
        </w:rPr>
        <w:t xml:space="preserve">operators of service facilities have to fulfil regarding access, </w:t>
      </w:r>
      <w:r w:rsidRPr="00584E74">
        <w:rPr>
          <w:rFonts w:ascii="Times New Roman" w:hAnsi="Times New Roman"/>
          <w:sz w:val="24"/>
          <w:szCs w:val="24"/>
        </w:rPr>
        <w:t>independenc</w:t>
      </w:r>
      <w:r>
        <w:rPr>
          <w:rFonts w:ascii="Times New Roman" w:hAnsi="Times New Roman"/>
          <w:sz w:val="24"/>
          <w:szCs w:val="24"/>
        </w:rPr>
        <w:t>e</w:t>
      </w:r>
      <w:r w:rsidRPr="00EB7B3B">
        <w:rPr>
          <w:rFonts w:ascii="Times New Roman" w:hAnsi="Times New Roman"/>
          <w:sz w:val="24"/>
        </w:rPr>
        <w:t xml:space="preserve"> and accounting separation. </w:t>
      </w:r>
    </w:p>
    <w:p w:rsidR="007C64B4" w:rsidRPr="00EB7B3B" w:rsidRDefault="007C64B4" w:rsidP="007C64B4">
      <w:pPr>
        <w:pStyle w:val="Paragraphedeliste"/>
        <w:numPr>
          <w:ilvl w:val="0"/>
          <w:numId w:val="47"/>
        </w:numPr>
        <w:spacing w:after="160" w:line="240" w:lineRule="auto"/>
        <w:jc w:val="both"/>
        <w:rPr>
          <w:rFonts w:ascii="Times New Roman" w:hAnsi="Times New Roman"/>
          <w:i/>
          <w:sz w:val="24"/>
        </w:rPr>
      </w:pPr>
      <w:r w:rsidRPr="00584E74">
        <w:rPr>
          <w:rFonts w:ascii="Times New Roman" w:hAnsi="Times New Roman"/>
          <w:sz w:val="24"/>
          <w:szCs w:val="24"/>
        </w:rPr>
        <w:t>Article 31 paragraph 7 provides the charging principle for service facilities:</w:t>
      </w:r>
      <w:r>
        <w:rPr>
          <w:rFonts w:ascii="Times New Roman" w:hAnsi="Times New Roman"/>
          <w:sz w:val="24"/>
          <w:szCs w:val="24"/>
        </w:rPr>
        <w:t xml:space="preserve"> </w:t>
      </w:r>
      <w:r w:rsidRPr="00EB7B3B">
        <w:rPr>
          <w:rFonts w:ascii="Times New Roman" w:hAnsi="Times New Roman"/>
          <w:i/>
          <w:sz w:val="24"/>
        </w:rPr>
        <w:t>“The charge imposed for track access within service facilities referred to in point 2 of Annex II, and the supply of services in such facilities, shall not exceed the cost of providing it, plus a reasonable profit.”</w:t>
      </w:r>
    </w:p>
    <w:p w:rsidR="007C64B4" w:rsidRPr="00B92FA1" w:rsidRDefault="007C64B4" w:rsidP="007C64B4">
      <w:pPr>
        <w:rPr>
          <w:lang w:val="en-GB"/>
        </w:rPr>
      </w:pPr>
    </w:p>
    <w:p w:rsidR="007C64B4" w:rsidRDefault="007C64B4" w:rsidP="007C64B4">
      <w:pPr>
        <w:jc w:val="both"/>
        <w:rPr>
          <w:lang w:val="en-GB"/>
        </w:rPr>
      </w:pPr>
      <w:r>
        <w:rPr>
          <w:lang w:val="en-GB"/>
        </w:rPr>
        <w:t>According to Article 64 of the Directive 2012/34/EU, member states were supposed to finalise the transposition of this</w:t>
      </w:r>
      <w:r w:rsidRPr="00B92FA1">
        <w:rPr>
          <w:lang w:val="en-GB"/>
        </w:rPr>
        <w:t xml:space="preserve"> legal basis for charges in service facilities into the</w:t>
      </w:r>
      <w:r>
        <w:rPr>
          <w:lang w:val="en-GB"/>
        </w:rPr>
        <w:t xml:space="preserve">ir </w:t>
      </w:r>
      <w:r w:rsidRPr="00B92FA1">
        <w:rPr>
          <w:lang w:val="en-GB"/>
        </w:rPr>
        <w:t>national law</w:t>
      </w:r>
      <w:r>
        <w:rPr>
          <w:lang w:val="en-GB"/>
        </w:rPr>
        <w:t>s, regulations and administrative provisions by 16</w:t>
      </w:r>
      <w:r w:rsidRPr="004B5DAB">
        <w:rPr>
          <w:vertAlign w:val="superscript"/>
          <w:lang w:val="en-GB"/>
        </w:rPr>
        <w:t>th</w:t>
      </w:r>
      <w:r>
        <w:rPr>
          <w:lang w:val="en-GB"/>
        </w:rPr>
        <w:t xml:space="preserve"> June 2015. </w:t>
      </w:r>
    </w:p>
    <w:p w:rsidR="007C64B4" w:rsidRDefault="007C64B4" w:rsidP="007C64B4">
      <w:pPr>
        <w:jc w:val="both"/>
        <w:rPr>
          <w:lang w:val="en-GB"/>
        </w:rPr>
      </w:pPr>
    </w:p>
    <w:p w:rsidR="007C64B4" w:rsidRDefault="007C64B4" w:rsidP="007C64B4">
      <w:pPr>
        <w:jc w:val="both"/>
        <w:rPr>
          <w:lang w:val="en-GB"/>
        </w:rPr>
      </w:pPr>
      <w:r w:rsidRPr="00EB7B3B">
        <w:rPr>
          <w:lang w:val="en-GB"/>
        </w:rPr>
        <w:t>In this context it is important to mention the regulation of Article 13 (3) and the Annex VIII of the Directive 2012/34/EU. Article 13 (3) foresees the obligation when the operator is under direct or indirect control of a body or firm which is also active and holds a dominant position in national railway transport services markets for which the facility is used</w:t>
      </w:r>
      <w:r>
        <w:rPr>
          <w:lang w:val="en-GB"/>
        </w:rPr>
        <w:t xml:space="preserve">, </w:t>
      </w:r>
      <w:r w:rsidRPr="00EB7B3B">
        <w:rPr>
          <w:lang w:val="en-GB"/>
        </w:rPr>
        <w:t xml:space="preserve">to </w:t>
      </w:r>
      <w:r>
        <w:rPr>
          <w:lang w:val="en-GB"/>
        </w:rPr>
        <w:t xml:space="preserve">organize itself in such a way that </w:t>
      </w:r>
      <w:r>
        <w:rPr>
          <w:lang w:val="en-US"/>
        </w:rPr>
        <w:t xml:space="preserve">it is </w:t>
      </w:r>
      <w:r w:rsidRPr="00BE715F">
        <w:rPr>
          <w:lang w:val="en-US"/>
        </w:rPr>
        <w:t xml:space="preserve">independent of this body or firm in </w:t>
      </w:r>
      <w:r w:rsidRPr="001A220C">
        <w:rPr>
          <w:lang w:val="en-US"/>
        </w:rPr>
        <w:t>organizational</w:t>
      </w:r>
      <w:r w:rsidRPr="00BE715F">
        <w:rPr>
          <w:lang w:val="en-US"/>
        </w:rPr>
        <w:t xml:space="preserve"> and decision-making terms</w:t>
      </w:r>
      <w:r>
        <w:rPr>
          <w:lang w:val="en-US"/>
        </w:rPr>
        <w:t xml:space="preserve"> as a mean to </w:t>
      </w:r>
      <w:r w:rsidRPr="00EB7B3B">
        <w:rPr>
          <w:lang w:val="en-GB"/>
        </w:rPr>
        <w:t>guarantee full transparency and non-discrimination of access to the service facilities. The second paragraph of Article</w:t>
      </w:r>
      <w:r>
        <w:rPr>
          <w:lang w:val="en-GB"/>
        </w:rPr>
        <w:t xml:space="preserve"> </w:t>
      </w:r>
      <w:r w:rsidRPr="00EB7B3B">
        <w:rPr>
          <w:lang w:val="en-GB"/>
        </w:rPr>
        <w:t>13</w:t>
      </w:r>
      <w:r>
        <w:rPr>
          <w:lang w:val="en-GB"/>
        </w:rPr>
        <w:t xml:space="preserve"> </w:t>
      </w:r>
      <w:r w:rsidRPr="00EB7B3B">
        <w:rPr>
          <w:lang w:val="en-GB"/>
        </w:rPr>
        <w:t xml:space="preserve">(3) stipulates </w:t>
      </w:r>
      <w:r>
        <w:rPr>
          <w:lang w:val="en-GB"/>
        </w:rPr>
        <w:t>for all service facilities</w:t>
      </w:r>
      <w:r w:rsidRPr="00EB7B3B">
        <w:rPr>
          <w:lang w:val="en-GB"/>
        </w:rPr>
        <w:t xml:space="preserve"> that the operator and the body or firm shall have separate accounts for all service facilities referred to in point 2 of Annex II. The Annex VIII regulates accounting separation information that the regulator is entitled to receive upon request. Finally, based on the mandate in Art 13 (9) of the Directive 2012/34/EU, the European Commission </w:t>
      </w:r>
      <w:r w:rsidRPr="00014B56">
        <w:rPr>
          <w:lang w:val="en-GB"/>
        </w:rPr>
        <w:t>has finalized the</w:t>
      </w:r>
      <w:r w:rsidRPr="00EB7B3B">
        <w:rPr>
          <w:lang w:val="en-GB"/>
        </w:rPr>
        <w:t xml:space="preserve"> implementing act on </w:t>
      </w:r>
      <w:r>
        <w:rPr>
          <w:lang w:val="en-GB"/>
        </w:rPr>
        <w:t>A</w:t>
      </w:r>
      <w:r w:rsidRPr="00EB7B3B">
        <w:rPr>
          <w:lang w:val="en-GB"/>
        </w:rPr>
        <w:t xml:space="preserve">ccess to </w:t>
      </w:r>
      <w:r>
        <w:rPr>
          <w:lang w:val="en-GB"/>
        </w:rPr>
        <w:t>S</w:t>
      </w:r>
      <w:r w:rsidRPr="00EB7B3B">
        <w:rPr>
          <w:lang w:val="en-GB"/>
        </w:rPr>
        <w:t xml:space="preserve">ervice </w:t>
      </w:r>
      <w:r>
        <w:rPr>
          <w:lang w:val="en-GB"/>
        </w:rPr>
        <w:t>F</w:t>
      </w:r>
      <w:r w:rsidRPr="00EB7B3B">
        <w:rPr>
          <w:lang w:val="en-GB"/>
        </w:rPr>
        <w:t xml:space="preserve">acilities and </w:t>
      </w:r>
      <w:r>
        <w:rPr>
          <w:lang w:val="en-GB"/>
        </w:rPr>
        <w:t>R</w:t>
      </w:r>
      <w:r w:rsidRPr="00EB7B3B">
        <w:rPr>
          <w:lang w:val="en-GB"/>
        </w:rPr>
        <w:t xml:space="preserve">ail-related </w:t>
      </w:r>
      <w:r>
        <w:rPr>
          <w:lang w:val="en-GB"/>
        </w:rPr>
        <w:t>S</w:t>
      </w:r>
      <w:r w:rsidRPr="00EB7B3B">
        <w:rPr>
          <w:lang w:val="en-GB"/>
        </w:rPr>
        <w:t xml:space="preserve">ervices. </w:t>
      </w:r>
    </w:p>
    <w:p w:rsidR="007C64B4" w:rsidRDefault="007C64B4" w:rsidP="007C64B4">
      <w:pPr>
        <w:jc w:val="both"/>
        <w:rPr>
          <w:lang w:val="en-GB"/>
        </w:rPr>
      </w:pPr>
    </w:p>
    <w:p w:rsidR="007C64B4" w:rsidRPr="00EB7B3B" w:rsidRDefault="007C64B4" w:rsidP="007C64B4">
      <w:pPr>
        <w:spacing w:after="160"/>
        <w:jc w:val="both"/>
        <w:rPr>
          <w:lang w:val="en-GB"/>
        </w:rPr>
      </w:pPr>
      <w:r w:rsidRPr="00EB7B3B">
        <w:rPr>
          <w:lang w:val="en-GB"/>
        </w:rPr>
        <w:t xml:space="preserve">In September </w:t>
      </w:r>
      <w:r>
        <w:rPr>
          <w:lang w:val="en-GB"/>
        </w:rPr>
        <w:t>2017</w:t>
      </w:r>
      <w:r w:rsidRPr="00EB7B3B">
        <w:rPr>
          <w:lang w:val="en-GB"/>
        </w:rPr>
        <w:t xml:space="preserve"> the Implementing Regulation on Access to Service Facilities proposed by the EU Commission got a positive vote in SERAC and is expected to be published by the end of 2017. </w:t>
      </w:r>
      <w:r w:rsidR="00F71650">
        <w:rPr>
          <w:lang w:val="en-GB"/>
        </w:rPr>
        <w:t>In A</w:t>
      </w:r>
      <w:r>
        <w:rPr>
          <w:lang w:val="en-GB"/>
        </w:rPr>
        <w:t>rticle 2 t</w:t>
      </w:r>
      <w:r w:rsidRPr="00EB7B3B">
        <w:rPr>
          <w:lang w:val="en-GB"/>
        </w:rPr>
        <w:t xml:space="preserve">he implementing act </w:t>
      </w:r>
      <w:r>
        <w:rPr>
          <w:lang w:val="en-GB"/>
        </w:rPr>
        <w:t>includes provisions for circumstances when operators of service facilities can request to be exempted from the application of all, or some, of the provisions of the regulation. For example s</w:t>
      </w:r>
      <w:r w:rsidRPr="00EB7B3B">
        <w:rPr>
          <w:lang w:val="en-GB"/>
        </w:rPr>
        <w:t>ervice facilities without strategic importance may ask for exemption from duties described in the Implementing Regulation. However, th</w:t>
      </w:r>
      <w:r>
        <w:rPr>
          <w:lang w:val="en-GB"/>
        </w:rPr>
        <w:t xml:space="preserve">e exemptions </w:t>
      </w:r>
      <w:r w:rsidRPr="00EB7B3B">
        <w:rPr>
          <w:lang w:val="en-GB"/>
        </w:rPr>
        <w:t>do not include information on charges for access to service facilities and charges for rail-related services supplied therein. Following, all service facility operators have to publish information on charges.</w:t>
      </w:r>
    </w:p>
    <w:p w:rsidR="007C64B4" w:rsidRDefault="007C64B4" w:rsidP="007C64B4">
      <w:pPr>
        <w:spacing w:after="160"/>
        <w:jc w:val="both"/>
        <w:rPr>
          <w:lang w:val="en-GB"/>
        </w:rPr>
      </w:pPr>
    </w:p>
    <w:p w:rsidR="007C64B4" w:rsidRDefault="007C64B4" w:rsidP="007C64B4">
      <w:pPr>
        <w:rPr>
          <w:b/>
          <w:bCs/>
          <w:u w:val="single"/>
          <w:lang w:val="en-GB" w:eastAsia="en-US"/>
        </w:rPr>
      </w:pPr>
      <w:bookmarkStart w:id="6" w:name="__RefHeading__5319_1151380434"/>
      <w:bookmarkStart w:id="7" w:name="_Toc494177951"/>
      <w:bookmarkStart w:id="8" w:name="_Toc495652228"/>
      <w:bookmarkEnd w:id="6"/>
      <w:r w:rsidRPr="00042EBE">
        <w:rPr>
          <w:b/>
          <w:u w:val="single"/>
          <w:lang w:val="en-US"/>
        </w:rPr>
        <w:br w:type="page"/>
      </w:r>
    </w:p>
    <w:p w:rsidR="007C64B4" w:rsidRDefault="007C64B4" w:rsidP="007C64B4">
      <w:pPr>
        <w:pStyle w:val="Paragraphedeliste"/>
        <w:numPr>
          <w:ilvl w:val="0"/>
          <w:numId w:val="9"/>
        </w:numPr>
        <w:outlineLvl w:val="0"/>
        <w:rPr>
          <w:rFonts w:ascii="Times New Roman" w:hAnsi="Times New Roman"/>
          <w:b/>
          <w:bCs/>
          <w:sz w:val="24"/>
          <w:szCs w:val="24"/>
          <w:u w:val="single"/>
        </w:rPr>
      </w:pPr>
      <w:bookmarkStart w:id="9" w:name="_Toc496702651"/>
      <w:r w:rsidRPr="00B92FA1">
        <w:rPr>
          <w:rFonts w:ascii="Times New Roman" w:hAnsi="Times New Roman"/>
          <w:b/>
          <w:bCs/>
          <w:sz w:val="24"/>
          <w:szCs w:val="24"/>
          <w:u w:val="single"/>
        </w:rPr>
        <w:lastRenderedPageBreak/>
        <w:t>General questions and role of the regulatory body</w:t>
      </w:r>
      <w:bookmarkEnd w:id="7"/>
      <w:bookmarkEnd w:id="8"/>
      <w:bookmarkEnd w:id="9"/>
    </w:p>
    <w:p w:rsidR="007C64B4" w:rsidRPr="00B92FA1" w:rsidRDefault="007C64B4" w:rsidP="007C64B4">
      <w:pPr>
        <w:pStyle w:val="Paragraphedeliste"/>
        <w:outlineLvl w:val="0"/>
        <w:rPr>
          <w:rFonts w:ascii="Times New Roman" w:hAnsi="Times New Roman"/>
          <w:b/>
          <w:bCs/>
          <w:sz w:val="24"/>
          <w:szCs w:val="24"/>
          <w:u w:val="single"/>
        </w:rPr>
      </w:pPr>
    </w:p>
    <w:p w:rsidR="007C64B4" w:rsidRPr="00EB7B3B" w:rsidRDefault="007C64B4" w:rsidP="007C64B4">
      <w:pPr>
        <w:pStyle w:val="Paragraphedeliste"/>
        <w:numPr>
          <w:ilvl w:val="0"/>
          <w:numId w:val="28"/>
        </w:numPr>
        <w:jc w:val="both"/>
        <w:rPr>
          <w:rFonts w:ascii="Times New Roman" w:hAnsi="Times New Roman"/>
          <w:b/>
          <w:color w:val="000000" w:themeColor="text1"/>
          <w:sz w:val="24"/>
        </w:rPr>
      </w:pPr>
      <w:r w:rsidRPr="00EB7B3B">
        <w:rPr>
          <w:rFonts w:ascii="Times New Roman" w:hAnsi="Times New Roman"/>
          <w:b/>
          <w:color w:val="000000" w:themeColor="text1"/>
          <w:sz w:val="24"/>
        </w:rPr>
        <w:t xml:space="preserve">General questions </w:t>
      </w:r>
    </w:p>
    <w:p w:rsidR="007C64B4" w:rsidRPr="00B92FA1" w:rsidRDefault="007C64B4" w:rsidP="007C64B4">
      <w:pPr>
        <w:pStyle w:val="Sansinterligne"/>
        <w:jc w:val="both"/>
        <w:rPr>
          <w:lang w:val="en-GB"/>
        </w:rPr>
      </w:pPr>
      <w:r>
        <w:rPr>
          <w:lang w:val="en-GB"/>
        </w:rPr>
        <w:t>T</w:t>
      </w:r>
      <w:r w:rsidRPr="00B92FA1">
        <w:rPr>
          <w:lang w:val="en-GB"/>
        </w:rPr>
        <w:t xml:space="preserve">he </w:t>
      </w:r>
      <w:r>
        <w:rPr>
          <w:lang w:val="en-GB"/>
        </w:rPr>
        <w:t>R</w:t>
      </w:r>
      <w:r w:rsidRPr="00B92FA1">
        <w:rPr>
          <w:lang w:val="en-GB"/>
        </w:rPr>
        <w:t>ecast was transposed into national law</w:t>
      </w:r>
      <w:r>
        <w:rPr>
          <w:lang w:val="en-GB"/>
        </w:rPr>
        <w:t>s in all member states.</w:t>
      </w:r>
      <w:r w:rsidRPr="00B92FA1">
        <w:rPr>
          <w:lang w:val="en-GB"/>
        </w:rPr>
        <w:t xml:space="preserve"> </w:t>
      </w:r>
      <w:r>
        <w:rPr>
          <w:lang w:val="en-GB"/>
        </w:rPr>
        <w:t xml:space="preserve">However, although </w:t>
      </w:r>
      <w:r w:rsidRPr="00B92FA1">
        <w:rPr>
          <w:lang w:val="en-GB"/>
        </w:rPr>
        <w:t xml:space="preserve">Norway implemented the Recast into national law </w:t>
      </w:r>
      <w:r>
        <w:rPr>
          <w:lang w:val="en-GB"/>
        </w:rPr>
        <w:t xml:space="preserve">on 1 January </w:t>
      </w:r>
      <w:r w:rsidRPr="00B92FA1">
        <w:rPr>
          <w:lang w:val="en-GB"/>
        </w:rPr>
        <w:t>2017</w:t>
      </w:r>
      <w:r>
        <w:rPr>
          <w:lang w:val="en-GB"/>
        </w:rPr>
        <w:t>, it has not yet transposed any</w:t>
      </w:r>
      <w:r w:rsidRPr="00B92FA1">
        <w:rPr>
          <w:lang w:val="en-GB"/>
        </w:rPr>
        <w:t xml:space="preserve"> of the implementing acts</w:t>
      </w:r>
      <w:r>
        <w:rPr>
          <w:lang w:val="en-GB"/>
        </w:rPr>
        <w:t xml:space="preserve"> from the Recast. This is because</w:t>
      </w:r>
      <w:r w:rsidRPr="00B92FA1">
        <w:rPr>
          <w:lang w:val="en-GB"/>
        </w:rPr>
        <w:t xml:space="preserve"> </w:t>
      </w:r>
      <w:r>
        <w:rPr>
          <w:lang w:val="en-GB"/>
        </w:rPr>
        <w:t>the Recast</w:t>
      </w:r>
      <w:r w:rsidRPr="00B92FA1">
        <w:rPr>
          <w:lang w:val="en-GB"/>
        </w:rPr>
        <w:t xml:space="preserve"> </w:t>
      </w:r>
      <w:r>
        <w:rPr>
          <w:lang w:val="en-GB"/>
        </w:rPr>
        <w:t xml:space="preserve">is yet to be </w:t>
      </w:r>
      <w:r w:rsidRPr="00B92FA1">
        <w:rPr>
          <w:lang w:val="en-GB"/>
        </w:rPr>
        <w:t>implemented into the EEA Agreement.</w:t>
      </w:r>
    </w:p>
    <w:p w:rsidR="007C64B4" w:rsidRPr="00B92FA1" w:rsidRDefault="007C64B4" w:rsidP="007C64B4">
      <w:pPr>
        <w:pStyle w:val="Sansinterligne"/>
        <w:jc w:val="both"/>
        <w:rPr>
          <w:lang w:val="en-GB"/>
        </w:rPr>
      </w:pPr>
    </w:p>
    <w:p w:rsidR="007C64B4" w:rsidRDefault="007C64B4" w:rsidP="007C64B4">
      <w:pPr>
        <w:spacing w:after="240"/>
        <w:jc w:val="both"/>
        <w:rPr>
          <w:lang w:val="en-GB"/>
        </w:rPr>
      </w:pPr>
      <w:r w:rsidRPr="00B92FA1">
        <w:rPr>
          <w:lang w:val="en-GB"/>
        </w:rPr>
        <w:t xml:space="preserve">In </w:t>
      </w:r>
      <w:r>
        <w:rPr>
          <w:lang w:val="en-GB"/>
        </w:rPr>
        <w:t>most</w:t>
      </w:r>
      <w:r w:rsidRPr="00B92FA1">
        <w:rPr>
          <w:lang w:val="en-GB"/>
        </w:rPr>
        <w:t xml:space="preserve"> of the countries</w:t>
      </w:r>
      <w:r>
        <w:rPr>
          <w:lang w:val="en-GB"/>
        </w:rPr>
        <w:t xml:space="preserve"> that responded to the questionnaire, </w:t>
      </w:r>
      <w:r w:rsidRPr="00B92FA1">
        <w:rPr>
          <w:lang w:val="en-GB"/>
        </w:rPr>
        <w:t xml:space="preserve">the charges for </w:t>
      </w:r>
      <w:r>
        <w:rPr>
          <w:lang w:val="en-GB"/>
        </w:rPr>
        <w:t>service facilities</w:t>
      </w:r>
      <w:r w:rsidRPr="00B92FA1">
        <w:rPr>
          <w:lang w:val="en-GB"/>
        </w:rPr>
        <w:t xml:space="preserve"> are published on the website of the </w:t>
      </w:r>
      <w:r>
        <w:rPr>
          <w:lang w:val="en-GB"/>
        </w:rPr>
        <w:t xml:space="preserve">service facility </w:t>
      </w:r>
      <w:r w:rsidRPr="00B92FA1">
        <w:rPr>
          <w:lang w:val="en-GB"/>
        </w:rPr>
        <w:t>operator or in the network statement of the infrastructure manager. In Belgium however</w:t>
      </w:r>
      <w:r>
        <w:rPr>
          <w:lang w:val="en-GB"/>
        </w:rPr>
        <w:t>,</w:t>
      </w:r>
      <w:r w:rsidRPr="00B92FA1">
        <w:rPr>
          <w:lang w:val="en-GB"/>
        </w:rPr>
        <w:t xml:space="preserve"> </w:t>
      </w:r>
      <w:r>
        <w:rPr>
          <w:lang w:val="en-GB"/>
        </w:rPr>
        <w:t>the service facility operator publishes</w:t>
      </w:r>
      <w:r w:rsidRPr="00B92FA1">
        <w:rPr>
          <w:lang w:val="en-GB"/>
        </w:rPr>
        <w:t xml:space="preserve"> the station charges</w:t>
      </w:r>
      <w:r>
        <w:rPr>
          <w:lang w:val="en-GB"/>
        </w:rPr>
        <w:t xml:space="preserve"> </w:t>
      </w:r>
      <w:r w:rsidRPr="00B92FA1">
        <w:rPr>
          <w:lang w:val="en-GB"/>
        </w:rPr>
        <w:t xml:space="preserve">only </w:t>
      </w:r>
      <w:r>
        <w:rPr>
          <w:lang w:val="en-GB"/>
        </w:rPr>
        <w:t>on its website</w:t>
      </w:r>
      <w:r w:rsidRPr="00B92FA1">
        <w:rPr>
          <w:lang w:val="en-GB"/>
        </w:rPr>
        <w:t>. In Italy</w:t>
      </w:r>
      <w:r>
        <w:rPr>
          <w:lang w:val="en-GB"/>
        </w:rPr>
        <w:t>,</w:t>
      </w:r>
      <w:r w:rsidRPr="00B92FA1">
        <w:rPr>
          <w:lang w:val="en-GB"/>
        </w:rPr>
        <w:t xml:space="preserve"> the network statement</w:t>
      </w:r>
      <w:r w:rsidR="00A137B5">
        <w:rPr>
          <w:lang w:val="en-GB"/>
        </w:rPr>
        <w:t xml:space="preserve"> of the infrastructure manager</w:t>
      </w:r>
      <w:r>
        <w:rPr>
          <w:lang w:val="en-GB"/>
        </w:rPr>
        <w:t xml:space="preserve"> contains</w:t>
      </w:r>
      <w:r w:rsidRPr="00B92FA1">
        <w:rPr>
          <w:lang w:val="en-GB"/>
        </w:rPr>
        <w:t xml:space="preserve"> the charges for service facilities</w:t>
      </w:r>
      <w:r w:rsidR="00A137B5">
        <w:rPr>
          <w:lang w:val="en-GB"/>
        </w:rPr>
        <w:t xml:space="preserve"> that belong to the infrastructure manager</w:t>
      </w:r>
      <w:r w:rsidRPr="00B92FA1">
        <w:rPr>
          <w:lang w:val="en-GB"/>
        </w:rPr>
        <w:t xml:space="preserve">. In the Netherlands only the </w:t>
      </w:r>
      <w:r>
        <w:rPr>
          <w:lang w:val="en-GB"/>
        </w:rPr>
        <w:t>infrastructure manager and incumbent</w:t>
      </w:r>
      <w:r w:rsidRPr="00B92FA1">
        <w:rPr>
          <w:lang w:val="en-GB"/>
        </w:rPr>
        <w:t xml:space="preserve"> </w:t>
      </w:r>
      <w:proofErr w:type="spellStart"/>
      <w:r>
        <w:rPr>
          <w:lang w:val="en-GB"/>
        </w:rPr>
        <w:t>Nederlandse</w:t>
      </w:r>
      <w:proofErr w:type="spellEnd"/>
      <w:r>
        <w:rPr>
          <w:lang w:val="en-GB"/>
        </w:rPr>
        <w:t xml:space="preserve"> S</w:t>
      </w:r>
      <w:proofErr w:type="spellStart"/>
      <w:r>
        <w:rPr>
          <w:lang w:val="en-US"/>
        </w:rPr>
        <w:t>poorwegen</w:t>
      </w:r>
      <w:proofErr w:type="spellEnd"/>
      <w:r>
        <w:rPr>
          <w:lang w:val="en-US"/>
        </w:rPr>
        <w:t xml:space="preserve"> (</w:t>
      </w:r>
      <w:r w:rsidRPr="00EB7B3B">
        <w:rPr>
          <w:lang w:val="en-GB"/>
        </w:rPr>
        <w:t>NS</w:t>
      </w:r>
      <w:r>
        <w:rPr>
          <w:lang w:val="en-US"/>
        </w:rPr>
        <w:t>)</w:t>
      </w:r>
      <w:r w:rsidRPr="00B92FA1">
        <w:rPr>
          <w:lang w:val="en-GB"/>
        </w:rPr>
        <w:t xml:space="preserve"> publish </w:t>
      </w:r>
      <w:r>
        <w:rPr>
          <w:lang w:val="en-GB"/>
        </w:rPr>
        <w:t xml:space="preserve">the charges of the service facilities </w:t>
      </w:r>
      <w:r w:rsidRPr="00B92FA1">
        <w:rPr>
          <w:lang w:val="en-GB"/>
        </w:rPr>
        <w:t xml:space="preserve">and in Romania </w:t>
      </w:r>
      <w:r>
        <w:rPr>
          <w:lang w:val="en-GB"/>
        </w:rPr>
        <w:t xml:space="preserve">the infrastructure manager publishes on its website only the charges of the most relevant service facilities it manages (e.g. certain intermodal freight terminals) and provides a link to the website in the network statement. Public information on charges of service facilities is scarce in Portugal. </w:t>
      </w:r>
      <w:r w:rsidRPr="00B92FA1">
        <w:rPr>
          <w:lang w:val="en-GB"/>
        </w:rPr>
        <w:t>In Greece</w:t>
      </w:r>
      <w:r>
        <w:rPr>
          <w:lang w:val="en-GB"/>
        </w:rPr>
        <w:t>,</w:t>
      </w:r>
      <w:r w:rsidRPr="00B92FA1">
        <w:rPr>
          <w:lang w:val="en-GB"/>
        </w:rPr>
        <w:t xml:space="preserve"> the charges </w:t>
      </w:r>
      <w:r>
        <w:rPr>
          <w:lang w:val="en-GB"/>
        </w:rPr>
        <w:t xml:space="preserve">for service facilities </w:t>
      </w:r>
      <w:r w:rsidRPr="00B92FA1">
        <w:rPr>
          <w:lang w:val="en-GB"/>
        </w:rPr>
        <w:t xml:space="preserve">are </w:t>
      </w:r>
      <w:r>
        <w:rPr>
          <w:lang w:val="en-GB"/>
        </w:rPr>
        <w:t xml:space="preserve">not </w:t>
      </w:r>
      <w:r w:rsidRPr="00B92FA1">
        <w:rPr>
          <w:lang w:val="en-GB"/>
        </w:rPr>
        <w:t>published</w:t>
      </w:r>
      <w:r>
        <w:rPr>
          <w:lang w:val="en-GB"/>
        </w:rPr>
        <w:t xml:space="preserve"> at all</w:t>
      </w:r>
      <w:r w:rsidRPr="00B92FA1">
        <w:rPr>
          <w:lang w:val="en-GB"/>
        </w:rPr>
        <w:t xml:space="preserve">. </w:t>
      </w:r>
    </w:p>
    <w:p w:rsidR="00061900" w:rsidRDefault="007C64B4" w:rsidP="007C64B4">
      <w:pPr>
        <w:spacing w:after="240"/>
        <w:jc w:val="both"/>
        <w:rPr>
          <w:lang w:val="en-GB"/>
        </w:rPr>
      </w:pPr>
      <w:r>
        <w:rPr>
          <w:lang w:val="en-GB"/>
        </w:rPr>
        <w:t>The table below presents the current situation concerning the accounting separation requirements for service facilities</w:t>
      </w:r>
      <w:r w:rsidRPr="00072E2C">
        <w:rPr>
          <w:lang w:val="en-GB"/>
        </w:rPr>
        <w:t xml:space="preserve"> </w:t>
      </w:r>
      <w:r>
        <w:rPr>
          <w:lang w:val="en-GB"/>
        </w:rPr>
        <w:t>by the IRG-Rail members. This table compares how IRG-Rail members have transposed</w:t>
      </w:r>
      <w:r w:rsidR="003A1B34">
        <w:rPr>
          <w:lang w:val="en-GB"/>
        </w:rPr>
        <w:t xml:space="preserve"> and applied the provisions of A</w:t>
      </w:r>
      <w:r>
        <w:rPr>
          <w:lang w:val="en-GB"/>
        </w:rPr>
        <w:t>rticle 13 (3)</w:t>
      </w:r>
      <w:r w:rsidRPr="002820C9">
        <w:rPr>
          <w:lang w:val="en-GB"/>
        </w:rPr>
        <w:t xml:space="preserve"> </w:t>
      </w:r>
      <w:r>
        <w:rPr>
          <w:lang w:val="en-GB"/>
        </w:rPr>
        <w:t xml:space="preserve">of the Recast. The table presents the answers to the question of whether service facilities referred to in Annex II point 2 of the Directive 2012/34/EU are under the obligation of implementing accounting separation (column 1), whether  there is a requirement when the service facility is managed by a dominant railway undertaking or by an infrastructure manager (column 2), whether </w:t>
      </w:r>
      <w:r w:rsidRPr="000A7A74">
        <w:rPr>
          <w:lang w:val="en-GB"/>
        </w:rPr>
        <w:t>the</w:t>
      </w:r>
      <w:r>
        <w:rPr>
          <w:lang w:val="en-GB"/>
        </w:rPr>
        <w:t xml:space="preserve"> requirement </w:t>
      </w:r>
      <w:r w:rsidRPr="000A7A74">
        <w:rPr>
          <w:lang w:val="en-GB"/>
        </w:rPr>
        <w:t>applies</w:t>
      </w:r>
      <w:r>
        <w:rPr>
          <w:lang w:val="en-GB"/>
        </w:rPr>
        <w:t xml:space="preserve"> for each service supplied in a service facility referred to in Annex II (column 3) </w:t>
      </w:r>
      <w:r w:rsidRPr="000A7A74">
        <w:rPr>
          <w:lang w:val="en-GB"/>
        </w:rPr>
        <w:t>and</w:t>
      </w:r>
      <w:r>
        <w:rPr>
          <w:lang w:val="en-GB"/>
        </w:rPr>
        <w:t>,</w:t>
      </w:r>
      <w:r w:rsidRPr="000A7A74">
        <w:rPr>
          <w:lang w:val="en-GB"/>
        </w:rPr>
        <w:t xml:space="preserve"> finally</w:t>
      </w:r>
      <w:r>
        <w:rPr>
          <w:lang w:val="en-GB"/>
        </w:rPr>
        <w:t>, whether  there exists an obligation of implementing a regulatory accounting (column 4)</w:t>
      </w:r>
      <w:r w:rsidRPr="000A7A74">
        <w:rPr>
          <w:lang w:val="en-GB"/>
        </w:rPr>
        <w:t>.</w:t>
      </w:r>
      <w:r>
        <w:rPr>
          <w:lang w:val="en-GB"/>
        </w:rPr>
        <w:t xml:space="preserve"> For the understanding of the following paragraphs, r</w:t>
      </w:r>
      <w:r w:rsidRPr="00B92FA1">
        <w:rPr>
          <w:lang w:val="en-GB"/>
        </w:rPr>
        <w:t>egulatory accounting</w:t>
      </w:r>
      <w:r>
        <w:rPr>
          <w:lang w:val="en-GB"/>
        </w:rPr>
        <w:t xml:space="preserve"> means</w:t>
      </w:r>
      <w:r w:rsidRPr="00B92FA1">
        <w:rPr>
          <w:lang w:val="en-GB"/>
        </w:rPr>
        <w:t xml:space="preserve"> a separate accounting system or a special set of accounting rules.</w:t>
      </w:r>
      <w:r>
        <w:rPr>
          <w:lang w:val="en-GB"/>
        </w:rPr>
        <w:t xml:space="preserve"> </w:t>
      </w:r>
    </w:p>
    <w:p w:rsidR="00061900" w:rsidRDefault="00061900">
      <w:pPr>
        <w:rPr>
          <w:lang w:val="en-GB"/>
        </w:rPr>
      </w:pPr>
      <w:r>
        <w:rPr>
          <w:lang w:val="en-GB"/>
        </w:rPr>
        <w:br w:type="page"/>
      </w:r>
    </w:p>
    <w:tbl>
      <w:tblPr>
        <w:tblStyle w:val="Grilledutableau"/>
        <w:tblW w:w="9435" w:type="dxa"/>
        <w:tblLayout w:type="fixed"/>
        <w:tblCellMar>
          <w:left w:w="28" w:type="dxa"/>
          <w:right w:w="28" w:type="dxa"/>
        </w:tblCellMar>
        <w:tblLook w:val="04A0" w:firstRow="1" w:lastRow="0" w:firstColumn="1" w:lastColumn="0" w:noHBand="0" w:noVBand="1"/>
      </w:tblPr>
      <w:tblGrid>
        <w:gridCol w:w="1120"/>
        <w:gridCol w:w="2058"/>
        <w:gridCol w:w="2394"/>
        <w:gridCol w:w="2379"/>
        <w:gridCol w:w="1484"/>
      </w:tblGrid>
      <w:tr w:rsidR="007C64B4" w:rsidRPr="00811885" w:rsidTr="00F718C3">
        <w:trPr>
          <w:trHeight w:val="249"/>
        </w:trPr>
        <w:tc>
          <w:tcPr>
            <w:tcW w:w="9435" w:type="dxa"/>
            <w:gridSpan w:val="5"/>
          </w:tcPr>
          <w:p w:rsidR="007C64B4" w:rsidRPr="002820C9" w:rsidRDefault="007C64B4" w:rsidP="007C64B4">
            <w:pPr>
              <w:jc w:val="center"/>
              <w:rPr>
                <w:color w:val="000000"/>
                <w:sz w:val="22"/>
                <w:lang w:val="en-GB"/>
              </w:rPr>
            </w:pPr>
            <w:r>
              <w:rPr>
                <w:color w:val="000000"/>
                <w:sz w:val="22"/>
                <w:szCs w:val="22"/>
                <w:lang w:val="en-GB"/>
              </w:rPr>
              <w:lastRenderedPageBreak/>
              <w:t xml:space="preserve">Questions on </w:t>
            </w:r>
            <w:r w:rsidRPr="00811885">
              <w:rPr>
                <w:color w:val="000000"/>
                <w:sz w:val="22"/>
                <w:szCs w:val="22"/>
                <w:lang w:val="en-GB"/>
              </w:rPr>
              <w:t>Account</w:t>
            </w:r>
            <w:r>
              <w:rPr>
                <w:color w:val="000000"/>
                <w:sz w:val="22"/>
                <w:szCs w:val="22"/>
                <w:lang w:val="en-GB"/>
              </w:rPr>
              <w:t>ing</w:t>
            </w:r>
            <w:r w:rsidRPr="00811885">
              <w:rPr>
                <w:color w:val="000000"/>
                <w:sz w:val="22"/>
                <w:szCs w:val="22"/>
                <w:lang w:val="en-GB"/>
              </w:rPr>
              <w:t xml:space="preserve"> Separation</w:t>
            </w:r>
          </w:p>
        </w:tc>
      </w:tr>
      <w:tr w:rsidR="00FD32FA" w:rsidRPr="00E8569E" w:rsidTr="00FD32FA">
        <w:trPr>
          <w:trHeight w:val="300"/>
        </w:trPr>
        <w:tc>
          <w:tcPr>
            <w:tcW w:w="1120" w:type="dxa"/>
            <w:noWrap/>
            <w:hideMark/>
          </w:tcPr>
          <w:p w:rsidR="007C64B4" w:rsidRPr="00811885" w:rsidRDefault="007C64B4" w:rsidP="007C64B4">
            <w:pPr>
              <w:rPr>
                <w:color w:val="000000"/>
                <w:lang w:val="en-GB"/>
              </w:rPr>
            </w:pPr>
          </w:p>
        </w:tc>
        <w:tc>
          <w:tcPr>
            <w:tcW w:w="2058" w:type="dxa"/>
          </w:tcPr>
          <w:p w:rsidR="007C64B4" w:rsidRPr="002820C9" w:rsidRDefault="007C64B4" w:rsidP="007C64B4">
            <w:pPr>
              <w:jc w:val="center"/>
              <w:rPr>
                <w:color w:val="000000"/>
                <w:sz w:val="22"/>
                <w:lang w:val="en-GB"/>
              </w:rPr>
            </w:pPr>
            <w:r w:rsidRPr="00811885">
              <w:rPr>
                <w:color w:val="000000"/>
                <w:sz w:val="22"/>
                <w:szCs w:val="22"/>
                <w:lang w:val="en-GB"/>
              </w:rPr>
              <w:t>Account</w:t>
            </w:r>
            <w:r>
              <w:rPr>
                <w:color w:val="000000"/>
                <w:sz w:val="22"/>
                <w:szCs w:val="22"/>
                <w:lang w:val="en-GB"/>
              </w:rPr>
              <w:t>ing</w:t>
            </w:r>
            <w:r w:rsidRPr="00811885">
              <w:rPr>
                <w:color w:val="000000"/>
                <w:sz w:val="22"/>
                <w:szCs w:val="22"/>
                <w:lang w:val="en-GB"/>
              </w:rPr>
              <w:t xml:space="preserve"> separation required for all service facilities referred to </w:t>
            </w:r>
            <w:r w:rsidR="00C42AF8">
              <w:rPr>
                <w:color w:val="000000"/>
                <w:sz w:val="22"/>
                <w:szCs w:val="22"/>
                <w:lang w:val="en-GB"/>
              </w:rPr>
              <w:t>in p</w:t>
            </w:r>
            <w:r>
              <w:rPr>
                <w:color w:val="000000"/>
                <w:sz w:val="22"/>
                <w:szCs w:val="22"/>
                <w:lang w:val="en-GB"/>
              </w:rPr>
              <w:t xml:space="preserve">oint 2 </w:t>
            </w:r>
            <w:r w:rsidRPr="00811885">
              <w:rPr>
                <w:color w:val="000000"/>
                <w:sz w:val="22"/>
                <w:szCs w:val="22"/>
                <w:lang w:val="en-GB"/>
              </w:rPr>
              <w:t>in Annex II</w:t>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t>Account</w:t>
            </w:r>
            <w:r>
              <w:rPr>
                <w:color w:val="000000"/>
                <w:sz w:val="22"/>
                <w:szCs w:val="22"/>
                <w:lang w:val="en-GB"/>
              </w:rPr>
              <w:t>ing</w:t>
            </w:r>
            <w:r w:rsidRPr="00811885">
              <w:rPr>
                <w:color w:val="000000"/>
                <w:sz w:val="22"/>
                <w:szCs w:val="22"/>
                <w:lang w:val="en-GB"/>
              </w:rPr>
              <w:t xml:space="preserve"> separation required, if </w:t>
            </w:r>
            <w:r>
              <w:rPr>
                <w:color w:val="000000"/>
                <w:sz w:val="22"/>
                <w:szCs w:val="22"/>
                <w:lang w:val="en-GB"/>
              </w:rPr>
              <w:t>service facility is</w:t>
            </w:r>
            <w:r w:rsidRPr="00811885">
              <w:rPr>
                <w:color w:val="000000"/>
                <w:sz w:val="22"/>
                <w:szCs w:val="22"/>
                <w:lang w:val="en-GB"/>
              </w:rPr>
              <w:t xml:space="preserve"> </w:t>
            </w:r>
            <w:r>
              <w:rPr>
                <w:color w:val="000000"/>
                <w:sz w:val="22"/>
                <w:szCs w:val="22"/>
                <w:lang w:val="en-GB"/>
              </w:rPr>
              <w:t xml:space="preserve">operated or managed by </w:t>
            </w:r>
            <w:r w:rsidRPr="00811885">
              <w:rPr>
                <w:color w:val="000000"/>
                <w:sz w:val="22"/>
                <w:szCs w:val="22"/>
                <w:lang w:val="en-GB"/>
              </w:rPr>
              <w:t xml:space="preserve">dominant RU or </w:t>
            </w:r>
            <w:r>
              <w:rPr>
                <w:color w:val="000000"/>
                <w:sz w:val="22"/>
                <w:szCs w:val="22"/>
                <w:lang w:val="en-GB"/>
              </w:rPr>
              <w:t>an</w:t>
            </w:r>
            <w:r w:rsidRPr="00811885">
              <w:rPr>
                <w:color w:val="000000"/>
                <w:sz w:val="22"/>
                <w:szCs w:val="22"/>
                <w:lang w:val="en-GB"/>
              </w:rPr>
              <w:t xml:space="preserve"> IM?</w:t>
            </w:r>
          </w:p>
        </w:tc>
        <w:tc>
          <w:tcPr>
            <w:tcW w:w="2379" w:type="dxa"/>
            <w:noWrap/>
          </w:tcPr>
          <w:p w:rsidR="007C64B4" w:rsidRPr="00811885" w:rsidRDefault="007C64B4" w:rsidP="007C64B4">
            <w:pPr>
              <w:jc w:val="center"/>
              <w:rPr>
                <w:color w:val="000000"/>
                <w:lang w:val="en-GB"/>
              </w:rPr>
            </w:pPr>
            <w:r w:rsidRPr="00811885">
              <w:rPr>
                <w:color w:val="000000"/>
                <w:sz w:val="22"/>
                <w:szCs w:val="22"/>
                <w:lang w:val="en-GB"/>
              </w:rPr>
              <w:t>Account</w:t>
            </w:r>
            <w:r>
              <w:rPr>
                <w:color w:val="000000"/>
                <w:sz w:val="22"/>
                <w:szCs w:val="22"/>
                <w:lang w:val="en-GB"/>
              </w:rPr>
              <w:t>ing</w:t>
            </w:r>
            <w:r w:rsidRPr="00811885">
              <w:rPr>
                <w:color w:val="000000"/>
                <w:sz w:val="22"/>
                <w:szCs w:val="22"/>
                <w:lang w:val="en-GB"/>
              </w:rPr>
              <w:t xml:space="preserve"> separation required when the </w:t>
            </w:r>
            <w:r>
              <w:rPr>
                <w:color w:val="000000"/>
                <w:sz w:val="22"/>
                <w:szCs w:val="22"/>
                <w:lang w:val="en-GB"/>
              </w:rPr>
              <w:t>service facility operator</w:t>
            </w:r>
            <w:r w:rsidRPr="00811885">
              <w:rPr>
                <w:color w:val="000000"/>
                <w:sz w:val="22"/>
                <w:szCs w:val="22"/>
                <w:lang w:val="en-GB"/>
              </w:rPr>
              <w:t xml:space="preserve"> offers more than one service?</w:t>
            </w:r>
          </w:p>
        </w:tc>
        <w:tc>
          <w:tcPr>
            <w:tcW w:w="1484" w:type="dxa"/>
          </w:tcPr>
          <w:p w:rsidR="007C64B4" w:rsidRPr="002820C9" w:rsidRDefault="007C64B4" w:rsidP="007C64B4">
            <w:pPr>
              <w:jc w:val="center"/>
              <w:rPr>
                <w:color w:val="000000"/>
                <w:sz w:val="22"/>
                <w:lang w:val="en-GB"/>
              </w:rPr>
            </w:pPr>
            <w:r w:rsidRPr="00811885">
              <w:rPr>
                <w:color w:val="000000"/>
                <w:sz w:val="22"/>
                <w:szCs w:val="22"/>
                <w:lang w:val="en-GB"/>
              </w:rPr>
              <w:t>Regulatory accounting obligatory</w:t>
            </w:r>
          </w:p>
        </w:tc>
      </w:tr>
      <w:tr w:rsidR="00FD32FA" w:rsidRPr="00811885" w:rsidTr="00FD32FA">
        <w:trPr>
          <w:trHeight w:val="300"/>
        </w:trPr>
        <w:tc>
          <w:tcPr>
            <w:tcW w:w="1120" w:type="dxa"/>
            <w:noWrap/>
            <w:hideMark/>
          </w:tcPr>
          <w:p w:rsidR="007C64B4" w:rsidRPr="00811885" w:rsidRDefault="007C64B4" w:rsidP="007C64B4">
            <w:pPr>
              <w:rPr>
                <w:color w:val="000000"/>
                <w:lang w:val="en-GB"/>
              </w:rPr>
            </w:pPr>
            <w:r w:rsidRPr="00811885">
              <w:rPr>
                <w:color w:val="000000"/>
                <w:sz w:val="22"/>
                <w:szCs w:val="22"/>
                <w:lang w:val="en-GB"/>
              </w:rPr>
              <w:t>Austria</w:t>
            </w:r>
          </w:p>
        </w:tc>
        <w:tc>
          <w:tcPr>
            <w:tcW w:w="2058"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r>
              <w:rPr>
                <w:rStyle w:val="Appelnotedebasdep"/>
                <w:color w:val="000000"/>
                <w:sz w:val="22"/>
                <w:szCs w:val="22"/>
                <w:lang w:val="en-GB"/>
              </w:rPr>
              <w:footnoteReference w:id="2"/>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2379" w:type="dxa"/>
            <w:noWrap/>
          </w:tcPr>
          <w:p w:rsidR="007C64B4" w:rsidRPr="00811885" w:rsidRDefault="007C64B4" w:rsidP="007C64B4">
            <w:pPr>
              <w:jc w:val="center"/>
              <w:rPr>
                <w:color w:val="000000"/>
                <w:lang w:val="en-GB"/>
              </w:rPr>
            </w:pPr>
            <w:r w:rsidRPr="00811885">
              <w:rPr>
                <w:b/>
                <w:color w:val="000000"/>
                <w:sz w:val="22"/>
                <w:szCs w:val="22"/>
                <w:lang w:val="en-GB"/>
              </w:rPr>
              <w:t>×</w:t>
            </w:r>
          </w:p>
        </w:tc>
        <w:tc>
          <w:tcPr>
            <w:tcW w:w="1484" w:type="dxa"/>
          </w:tcPr>
          <w:p w:rsidR="007C64B4" w:rsidRPr="002820C9" w:rsidRDefault="007C64B4" w:rsidP="007C64B4">
            <w:pPr>
              <w:jc w:val="center"/>
              <w:rPr>
                <w:b/>
                <w:color w:val="000000"/>
                <w:sz w:val="22"/>
                <w:lang w:val="en-GB"/>
              </w:rPr>
            </w:pPr>
            <w:r w:rsidRPr="00811885">
              <w:rPr>
                <w:b/>
                <w:color w:val="000000"/>
                <w:sz w:val="22"/>
                <w:szCs w:val="22"/>
                <w:lang w:val="en-GB"/>
              </w:rPr>
              <w:t>×</w:t>
            </w:r>
          </w:p>
        </w:tc>
      </w:tr>
      <w:tr w:rsidR="00FD32FA" w:rsidRPr="00811885" w:rsidTr="00F718C3">
        <w:trPr>
          <w:trHeight w:val="271"/>
        </w:trPr>
        <w:tc>
          <w:tcPr>
            <w:tcW w:w="1120" w:type="dxa"/>
            <w:noWrap/>
            <w:hideMark/>
          </w:tcPr>
          <w:p w:rsidR="007C64B4" w:rsidRPr="00811885" w:rsidRDefault="007C64B4" w:rsidP="007C64B4">
            <w:pPr>
              <w:rPr>
                <w:color w:val="000000"/>
                <w:lang w:val="en-GB"/>
              </w:rPr>
            </w:pPr>
            <w:r w:rsidRPr="00811885">
              <w:rPr>
                <w:color w:val="000000"/>
                <w:sz w:val="22"/>
                <w:szCs w:val="22"/>
                <w:lang w:val="en-GB"/>
              </w:rPr>
              <w:t>Belgium</w:t>
            </w:r>
          </w:p>
        </w:tc>
        <w:tc>
          <w:tcPr>
            <w:tcW w:w="2058"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2379"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1484" w:type="dxa"/>
          </w:tcPr>
          <w:p w:rsidR="007C64B4" w:rsidRPr="002820C9" w:rsidRDefault="007C64B4" w:rsidP="007C64B4">
            <w:pPr>
              <w:jc w:val="center"/>
              <w:rPr>
                <w:color w:val="000000"/>
                <w:sz w:val="22"/>
                <w:lang w:val="en-GB"/>
              </w:rPr>
            </w:pPr>
            <w:r w:rsidRPr="00811885">
              <w:rPr>
                <w:b/>
                <w:color w:val="000000"/>
                <w:sz w:val="22"/>
                <w:szCs w:val="22"/>
                <w:lang w:val="en-GB"/>
              </w:rPr>
              <w:t>×</w:t>
            </w:r>
          </w:p>
        </w:tc>
      </w:tr>
      <w:tr w:rsidR="00FD32FA" w:rsidRPr="00811885" w:rsidTr="00F718C3">
        <w:trPr>
          <w:trHeight w:val="243"/>
        </w:trPr>
        <w:tc>
          <w:tcPr>
            <w:tcW w:w="1120" w:type="dxa"/>
            <w:noWrap/>
            <w:hideMark/>
          </w:tcPr>
          <w:p w:rsidR="007C64B4" w:rsidRPr="00811885" w:rsidRDefault="007C64B4" w:rsidP="007C64B4">
            <w:pPr>
              <w:rPr>
                <w:color w:val="000000"/>
                <w:lang w:val="en-GB"/>
              </w:rPr>
            </w:pPr>
            <w:r w:rsidRPr="00811885">
              <w:rPr>
                <w:color w:val="000000"/>
                <w:sz w:val="22"/>
                <w:szCs w:val="22"/>
                <w:lang w:val="en-GB"/>
              </w:rPr>
              <w:t>Bulgaria</w:t>
            </w:r>
          </w:p>
        </w:tc>
        <w:tc>
          <w:tcPr>
            <w:tcW w:w="2058"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2379"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1484"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r>
      <w:tr w:rsidR="00FD32FA" w:rsidRPr="00811885" w:rsidTr="00F718C3">
        <w:trPr>
          <w:trHeight w:val="257"/>
        </w:trPr>
        <w:tc>
          <w:tcPr>
            <w:tcW w:w="1120" w:type="dxa"/>
            <w:noWrap/>
            <w:hideMark/>
          </w:tcPr>
          <w:p w:rsidR="007C64B4" w:rsidRPr="00811885" w:rsidRDefault="007C64B4" w:rsidP="007C64B4">
            <w:pPr>
              <w:rPr>
                <w:color w:val="000000"/>
                <w:lang w:val="en-GB"/>
              </w:rPr>
            </w:pPr>
            <w:r w:rsidRPr="00811885">
              <w:rPr>
                <w:color w:val="000000"/>
                <w:sz w:val="22"/>
                <w:szCs w:val="22"/>
                <w:lang w:val="en-GB"/>
              </w:rPr>
              <w:t>Croatia</w:t>
            </w:r>
          </w:p>
        </w:tc>
        <w:tc>
          <w:tcPr>
            <w:tcW w:w="2058"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2379"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1484"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r>
      <w:tr w:rsidR="00FD32FA" w:rsidRPr="00811885" w:rsidTr="00F718C3">
        <w:trPr>
          <w:trHeight w:val="229"/>
        </w:trPr>
        <w:tc>
          <w:tcPr>
            <w:tcW w:w="1120" w:type="dxa"/>
            <w:noWrap/>
            <w:hideMark/>
          </w:tcPr>
          <w:p w:rsidR="007C64B4" w:rsidRPr="00811885" w:rsidRDefault="007C64B4" w:rsidP="007C64B4">
            <w:pPr>
              <w:rPr>
                <w:color w:val="000000"/>
                <w:lang w:val="en-GB"/>
              </w:rPr>
            </w:pPr>
            <w:r w:rsidRPr="00811885">
              <w:rPr>
                <w:color w:val="000000"/>
                <w:sz w:val="22"/>
                <w:szCs w:val="22"/>
                <w:lang w:val="en-GB"/>
              </w:rPr>
              <w:t>Finland</w:t>
            </w:r>
          </w:p>
        </w:tc>
        <w:tc>
          <w:tcPr>
            <w:tcW w:w="2058"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c>
          <w:tcPr>
            <w:tcW w:w="2394" w:type="dxa"/>
            <w:noWrap/>
          </w:tcPr>
          <w:p w:rsidR="007C64B4" w:rsidRPr="00811885" w:rsidRDefault="00F71650" w:rsidP="007C64B4">
            <w:pPr>
              <w:jc w:val="center"/>
              <w:rPr>
                <w:color w:val="000000"/>
                <w:lang w:val="en-GB"/>
              </w:rPr>
            </w:pPr>
            <w:r w:rsidRPr="00811885">
              <w:rPr>
                <w:b/>
                <w:color w:val="000000"/>
                <w:sz w:val="22"/>
                <w:szCs w:val="22"/>
                <w:lang w:val="en-GB"/>
              </w:rPr>
              <w:t>×</w:t>
            </w:r>
          </w:p>
        </w:tc>
        <w:tc>
          <w:tcPr>
            <w:tcW w:w="2379"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r w:rsidRPr="00521B24">
              <w:rPr>
                <w:color w:val="000000"/>
                <w:sz w:val="18"/>
                <w:szCs w:val="18"/>
                <w:lang w:val="en-GB"/>
              </w:rPr>
              <w:t>, except if belongs to IM</w:t>
            </w:r>
          </w:p>
        </w:tc>
        <w:tc>
          <w:tcPr>
            <w:tcW w:w="1484"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r>
      <w:tr w:rsidR="00FD32FA" w:rsidRPr="00811885" w:rsidTr="00FD32FA">
        <w:trPr>
          <w:trHeight w:val="300"/>
        </w:trPr>
        <w:tc>
          <w:tcPr>
            <w:tcW w:w="1120" w:type="dxa"/>
            <w:noWrap/>
            <w:hideMark/>
          </w:tcPr>
          <w:p w:rsidR="007C64B4" w:rsidRPr="00811885" w:rsidRDefault="007C64B4" w:rsidP="007C64B4">
            <w:pPr>
              <w:rPr>
                <w:color w:val="000000"/>
                <w:lang w:val="en-GB"/>
              </w:rPr>
            </w:pPr>
            <w:r w:rsidRPr="00811885">
              <w:rPr>
                <w:color w:val="000000"/>
                <w:sz w:val="22"/>
                <w:szCs w:val="22"/>
                <w:lang w:val="en-GB"/>
              </w:rPr>
              <w:t>France</w:t>
            </w:r>
          </w:p>
        </w:tc>
        <w:tc>
          <w:tcPr>
            <w:tcW w:w="2058" w:type="dxa"/>
          </w:tcPr>
          <w:p w:rsidR="007C64B4" w:rsidRPr="002820C9" w:rsidRDefault="007C64B4" w:rsidP="007C64B4">
            <w:pPr>
              <w:jc w:val="center"/>
              <w:rPr>
                <w:b/>
                <w:color w:val="000000"/>
                <w:sz w:val="22"/>
                <w:lang w:val="en-GB"/>
              </w:rPr>
            </w:pPr>
            <w:r w:rsidRPr="00811885">
              <w:rPr>
                <w:color w:val="000000"/>
                <w:sz w:val="22"/>
                <w:szCs w:val="22"/>
                <w:lang w:val="en-GB"/>
              </w:rPr>
              <w:sym w:font="Wingdings" w:char="F0FC"/>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r w:rsidRPr="00123C99">
              <w:rPr>
                <w:rStyle w:val="Appelnotedebasdep"/>
                <w:color w:val="000000"/>
                <w:sz w:val="18"/>
                <w:szCs w:val="18"/>
                <w:vertAlign w:val="baseline"/>
                <w:lang w:val="en-GB"/>
              </w:rPr>
              <w:t>,</w:t>
            </w:r>
            <w:r w:rsidRPr="00014B56">
              <w:rPr>
                <w:sz w:val="18"/>
                <w:szCs w:val="18"/>
                <w:lang w:val="en-US"/>
              </w:rPr>
              <w:t xml:space="preserve"> for RU (dominant or not) and SNCF Réseau</w:t>
            </w:r>
          </w:p>
        </w:tc>
        <w:tc>
          <w:tcPr>
            <w:tcW w:w="2379" w:type="dxa"/>
            <w:noWrap/>
          </w:tcPr>
          <w:p w:rsidR="007C64B4" w:rsidRPr="00811885" w:rsidRDefault="007C64B4" w:rsidP="007C64B4">
            <w:pPr>
              <w:jc w:val="center"/>
              <w:rPr>
                <w:color w:val="000000"/>
                <w:lang w:val="en-GB"/>
              </w:rPr>
            </w:pPr>
            <w:r w:rsidRPr="00811885">
              <w:rPr>
                <w:b/>
                <w:color w:val="000000"/>
                <w:sz w:val="22"/>
                <w:szCs w:val="22"/>
                <w:lang w:val="en-GB"/>
              </w:rPr>
              <w:t>×</w:t>
            </w:r>
          </w:p>
        </w:tc>
        <w:tc>
          <w:tcPr>
            <w:tcW w:w="1484" w:type="dxa"/>
          </w:tcPr>
          <w:p w:rsidR="007C64B4" w:rsidRPr="002820C9" w:rsidRDefault="007C64B4" w:rsidP="007C64B4">
            <w:pPr>
              <w:jc w:val="center"/>
              <w:rPr>
                <w:b/>
                <w:color w:val="000000"/>
                <w:sz w:val="22"/>
                <w:lang w:val="en-GB"/>
              </w:rPr>
            </w:pPr>
            <w:r w:rsidRPr="00811885">
              <w:rPr>
                <w:b/>
                <w:color w:val="000000"/>
                <w:sz w:val="22"/>
                <w:szCs w:val="22"/>
                <w:lang w:val="en-GB"/>
              </w:rPr>
              <w:t>×</w:t>
            </w:r>
          </w:p>
        </w:tc>
      </w:tr>
      <w:tr w:rsidR="00FD32FA" w:rsidRPr="00811885" w:rsidTr="00F718C3">
        <w:trPr>
          <w:trHeight w:val="411"/>
        </w:trPr>
        <w:tc>
          <w:tcPr>
            <w:tcW w:w="1120" w:type="dxa"/>
            <w:noWrap/>
            <w:hideMark/>
          </w:tcPr>
          <w:p w:rsidR="007C64B4" w:rsidRPr="00811885" w:rsidRDefault="007C64B4" w:rsidP="007C64B4">
            <w:pPr>
              <w:rPr>
                <w:color w:val="000000"/>
                <w:lang w:val="en-GB"/>
              </w:rPr>
            </w:pPr>
            <w:r w:rsidRPr="00811885">
              <w:rPr>
                <w:color w:val="000000"/>
                <w:sz w:val="22"/>
                <w:szCs w:val="22"/>
                <w:lang w:val="en-GB"/>
              </w:rPr>
              <w:t>Germany</w:t>
            </w:r>
          </w:p>
        </w:tc>
        <w:tc>
          <w:tcPr>
            <w:tcW w:w="2058" w:type="dxa"/>
          </w:tcPr>
          <w:p w:rsidR="007C64B4" w:rsidRPr="002820C9" w:rsidRDefault="007C64B4" w:rsidP="007C64B4">
            <w:pPr>
              <w:jc w:val="center"/>
              <w:rPr>
                <w:b/>
                <w:color w:val="000000"/>
                <w:sz w:val="22"/>
                <w:lang w:val="en-GB"/>
              </w:rPr>
            </w:pPr>
            <w:r w:rsidRPr="00811885">
              <w:rPr>
                <w:color w:val="000000"/>
                <w:sz w:val="22"/>
                <w:szCs w:val="22"/>
                <w:lang w:val="en-GB"/>
              </w:rPr>
              <w:sym w:font="Wingdings" w:char="F0FC"/>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2379" w:type="dxa"/>
            <w:noWrap/>
          </w:tcPr>
          <w:p w:rsidR="007C64B4" w:rsidRPr="00811885" w:rsidRDefault="007C64B4" w:rsidP="007C64B4">
            <w:pPr>
              <w:jc w:val="center"/>
              <w:rPr>
                <w:color w:val="000000"/>
                <w:lang w:val="en-GB"/>
              </w:rPr>
            </w:pPr>
            <w:r w:rsidRPr="00811885">
              <w:rPr>
                <w:b/>
                <w:color w:val="000000"/>
                <w:sz w:val="22"/>
                <w:szCs w:val="22"/>
                <w:lang w:val="en-GB"/>
              </w:rPr>
              <w:t>×</w:t>
            </w:r>
          </w:p>
        </w:tc>
        <w:tc>
          <w:tcPr>
            <w:tcW w:w="1484"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r>
              <w:rPr>
                <w:color w:val="000000"/>
                <w:sz w:val="22"/>
                <w:szCs w:val="22"/>
                <w:lang w:val="en-GB"/>
              </w:rPr>
              <w:t xml:space="preserve"> </w:t>
            </w:r>
            <w:r w:rsidRPr="00A86D54">
              <w:rPr>
                <w:color w:val="000000"/>
                <w:sz w:val="18"/>
                <w:szCs w:val="22"/>
                <w:lang w:val="en-GB"/>
              </w:rPr>
              <w:t>exemptions possible</w:t>
            </w:r>
          </w:p>
        </w:tc>
      </w:tr>
      <w:tr w:rsidR="00FD32FA" w:rsidRPr="00811885" w:rsidTr="00F718C3">
        <w:trPr>
          <w:trHeight w:val="243"/>
        </w:trPr>
        <w:tc>
          <w:tcPr>
            <w:tcW w:w="1120" w:type="dxa"/>
            <w:noWrap/>
            <w:hideMark/>
          </w:tcPr>
          <w:p w:rsidR="007C64B4" w:rsidRPr="00811885" w:rsidRDefault="007C64B4" w:rsidP="007C64B4">
            <w:pPr>
              <w:rPr>
                <w:color w:val="000000"/>
                <w:lang w:val="en-GB"/>
              </w:rPr>
            </w:pPr>
            <w:r w:rsidRPr="00811885">
              <w:rPr>
                <w:color w:val="000000"/>
                <w:sz w:val="22"/>
                <w:szCs w:val="22"/>
                <w:lang w:val="en-GB"/>
              </w:rPr>
              <w:t>Greece</w:t>
            </w:r>
          </w:p>
        </w:tc>
        <w:tc>
          <w:tcPr>
            <w:tcW w:w="2058" w:type="dxa"/>
          </w:tcPr>
          <w:p w:rsidR="007C64B4" w:rsidRPr="002820C9" w:rsidRDefault="007C64B4" w:rsidP="007C64B4">
            <w:pPr>
              <w:jc w:val="center"/>
              <w:rPr>
                <w:color w:val="000000"/>
                <w:sz w:val="22"/>
                <w:lang w:val="en-GB"/>
              </w:rPr>
            </w:pPr>
            <w:r w:rsidRPr="00811885">
              <w:rPr>
                <w:b/>
                <w:color w:val="000000"/>
                <w:sz w:val="22"/>
                <w:szCs w:val="22"/>
                <w:lang w:val="en-GB"/>
              </w:rPr>
              <w:t>×</w:t>
            </w:r>
          </w:p>
        </w:tc>
        <w:tc>
          <w:tcPr>
            <w:tcW w:w="2394" w:type="dxa"/>
            <w:noWrap/>
          </w:tcPr>
          <w:p w:rsidR="007C64B4" w:rsidRPr="00811885" w:rsidRDefault="007C64B4" w:rsidP="007C64B4">
            <w:pPr>
              <w:jc w:val="center"/>
              <w:rPr>
                <w:color w:val="000000"/>
                <w:lang w:val="en-GB"/>
              </w:rPr>
            </w:pPr>
            <w:r w:rsidRPr="00811885">
              <w:rPr>
                <w:b/>
                <w:color w:val="000000"/>
                <w:sz w:val="22"/>
                <w:szCs w:val="22"/>
                <w:lang w:val="en-GB"/>
              </w:rPr>
              <w:t>×</w:t>
            </w:r>
          </w:p>
        </w:tc>
        <w:tc>
          <w:tcPr>
            <w:tcW w:w="2379"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1484" w:type="dxa"/>
          </w:tcPr>
          <w:p w:rsidR="007C64B4" w:rsidRPr="002820C9" w:rsidRDefault="007C64B4" w:rsidP="007C64B4">
            <w:pPr>
              <w:jc w:val="center"/>
              <w:rPr>
                <w:b/>
                <w:color w:val="000000"/>
                <w:sz w:val="22"/>
                <w:lang w:val="en-GB"/>
              </w:rPr>
            </w:pPr>
            <w:r w:rsidRPr="00811885">
              <w:rPr>
                <w:b/>
                <w:color w:val="000000"/>
                <w:sz w:val="22"/>
                <w:szCs w:val="22"/>
                <w:lang w:val="en-GB"/>
              </w:rPr>
              <w:t>×</w:t>
            </w:r>
          </w:p>
        </w:tc>
      </w:tr>
      <w:tr w:rsidR="00FD32FA" w:rsidRPr="00282239" w:rsidTr="00F718C3">
        <w:trPr>
          <w:trHeight w:val="435"/>
        </w:trPr>
        <w:tc>
          <w:tcPr>
            <w:tcW w:w="1120" w:type="dxa"/>
            <w:noWrap/>
            <w:hideMark/>
          </w:tcPr>
          <w:p w:rsidR="007C64B4" w:rsidRPr="00811885" w:rsidRDefault="007C64B4" w:rsidP="007C64B4">
            <w:pPr>
              <w:rPr>
                <w:color w:val="000000"/>
                <w:lang w:val="en-GB"/>
              </w:rPr>
            </w:pPr>
            <w:r w:rsidRPr="00811885">
              <w:rPr>
                <w:color w:val="000000"/>
                <w:sz w:val="22"/>
                <w:szCs w:val="22"/>
                <w:lang w:val="en-GB"/>
              </w:rPr>
              <w:t>Italy</w:t>
            </w:r>
          </w:p>
        </w:tc>
        <w:tc>
          <w:tcPr>
            <w:tcW w:w="2058" w:type="dxa"/>
          </w:tcPr>
          <w:p w:rsidR="007C64B4" w:rsidRPr="00A53866" w:rsidRDefault="00C3305F" w:rsidP="007C64B4">
            <w:pPr>
              <w:jc w:val="center"/>
              <w:rPr>
                <w:color w:val="000000"/>
                <w:sz w:val="18"/>
                <w:szCs w:val="22"/>
                <w:lang w:val="en-GB"/>
              </w:rPr>
            </w:pPr>
            <w:r w:rsidRPr="00811885">
              <w:rPr>
                <w:color w:val="000000"/>
                <w:sz w:val="22"/>
                <w:szCs w:val="22"/>
                <w:lang w:val="en-GB"/>
              </w:rPr>
              <w:sym w:font="Wingdings" w:char="F0FC"/>
            </w:r>
            <w:r w:rsidRPr="00811885">
              <w:rPr>
                <w:rStyle w:val="Appelnotedebasdep"/>
                <w:color w:val="000000"/>
                <w:sz w:val="22"/>
                <w:szCs w:val="22"/>
                <w:lang w:val="en-GB"/>
              </w:rPr>
              <w:footnoteReference w:id="3"/>
            </w:r>
          </w:p>
        </w:tc>
        <w:tc>
          <w:tcPr>
            <w:tcW w:w="2394" w:type="dxa"/>
            <w:noWrap/>
          </w:tcPr>
          <w:p w:rsidR="007C64B4" w:rsidRPr="00A53866" w:rsidRDefault="00A137B5" w:rsidP="007C64B4">
            <w:pPr>
              <w:jc w:val="center"/>
              <w:rPr>
                <w:color w:val="000000"/>
                <w:sz w:val="18"/>
                <w:lang w:val="en-GB"/>
              </w:rPr>
            </w:pPr>
            <w:r w:rsidRPr="00811885">
              <w:rPr>
                <w:color w:val="000000"/>
                <w:sz w:val="22"/>
                <w:szCs w:val="22"/>
                <w:lang w:val="en-GB"/>
              </w:rPr>
              <w:sym w:font="Wingdings" w:char="F0FC"/>
            </w:r>
            <w:r w:rsidRPr="00811885">
              <w:rPr>
                <w:color w:val="000000"/>
                <w:sz w:val="22"/>
                <w:szCs w:val="22"/>
                <w:lang w:val="en-GB"/>
              </w:rPr>
              <w:t xml:space="preserve">, </w:t>
            </w:r>
            <w:r w:rsidRPr="00A53866">
              <w:rPr>
                <w:color w:val="000000"/>
                <w:sz w:val="18"/>
                <w:szCs w:val="22"/>
                <w:lang w:val="en-GB"/>
              </w:rPr>
              <w:t>if dominant RU</w:t>
            </w:r>
          </w:p>
        </w:tc>
        <w:tc>
          <w:tcPr>
            <w:tcW w:w="2379" w:type="dxa"/>
            <w:noWrap/>
          </w:tcPr>
          <w:p w:rsidR="007C64B4" w:rsidRPr="00A53866" w:rsidRDefault="00A137B5" w:rsidP="00A137B5">
            <w:pPr>
              <w:jc w:val="center"/>
              <w:rPr>
                <w:color w:val="000000"/>
                <w:sz w:val="18"/>
                <w:lang w:val="en-GB"/>
              </w:rPr>
            </w:pPr>
            <w:r w:rsidRPr="00811885">
              <w:rPr>
                <w:color w:val="000000"/>
                <w:sz w:val="22"/>
                <w:szCs w:val="22"/>
                <w:lang w:val="en-GB"/>
              </w:rPr>
              <w:sym w:font="Wingdings" w:char="F0FC"/>
            </w:r>
            <w:r w:rsidRPr="00EB66ED">
              <w:rPr>
                <w:color w:val="000000"/>
                <w:sz w:val="18"/>
                <w:szCs w:val="18"/>
                <w:lang w:val="en-GB"/>
              </w:rPr>
              <w:t>, under some conditions</w:t>
            </w:r>
            <w:r>
              <w:rPr>
                <w:color w:val="000000"/>
                <w:sz w:val="18"/>
                <w:szCs w:val="22"/>
                <w:lang w:val="en-GB"/>
              </w:rPr>
              <w:t xml:space="preserve"> (see footnote 2 and text)</w:t>
            </w:r>
          </w:p>
        </w:tc>
        <w:tc>
          <w:tcPr>
            <w:tcW w:w="1484" w:type="dxa"/>
          </w:tcPr>
          <w:p w:rsidR="007C64B4" w:rsidRPr="00A53866" w:rsidRDefault="00A137B5" w:rsidP="007C64B4">
            <w:pPr>
              <w:jc w:val="center"/>
              <w:rPr>
                <w:color w:val="000000"/>
                <w:sz w:val="18"/>
                <w:szCs w:val="22"/>
                <w:lang w:val="en-GB"/>
              </w:rPr>
            </w:pPr>
            <w:r w:rsidRPr="00811885">
              <w:rPr>
                <w:color w:val="000000"/>
                <w:sz w:val="22"/>
                <w:szCs w:val="22"/>
                <w:lang w:val="en-GB"/>
              </w:rPr>
              <w:sym w:font="Wingdings" w:char="F0FC"/>
            </w:r>
            <w:r w:rsidRPr="00EB66ED">
              <w:rPr>
                <w:color w:val="000000"/>
                <w:sz w:val="18"/>
                <w:szCs w:val="18"/>
                <w:lang w:val="en-GB"/>
              </w:rPr>
              <w:t>, under some conditions</w:t>
            </w:r>
            <w:r>
              <w:rPr>
                <w:color w:val="000000"/>
                <w:sz w:val="18"/>
                <w:szCs w:val="22"/>
                <w:lang w:val="en-GB"/>
              </w:rPr>
              <w:t xml:space="preserve"> (see footnote 2 and text)</w:t>
            </w:r>
          </w:p>
        </w:tc>
      </w:tr>
      <w:tr w:rsidR="00FD32FA" w:rsidRPr="00811885" w:rsidTr="00FD32FA">
        <w:trPr>
          <w:trHeight w:val="300"/>
        </w:trPr>
        <w:tc>
          <w:tcPr>
            <w:tcW w:w="1120" w:type="dxa"/>
            <w:noWrap/>
            <w:hideMark/>
          </w:tcPr>
          <w:p w:rsidR="007C64B4" w:rsidRPr="00811885" w:rsidRDefault="007C64B4" w:rsidP="007C64B4">
            <w:pPr>
              <w:rPr>
                <w:color w:val="000000"/>
                <w:lang w:val="en-GB"/>
              </w:rPr>
            </w:pPr>
            <w:r w:rsidRPr="00811885">
              <w:rPr>
                <w:color w:val="000000"/>
                <w:sz w:val="22"/>
                <w:szCs w:val="22"/>
                <w:lang w:val="en-GB"/>
              </w:rPr>
              <w:t>Netherlands</w:t>
            </w:r>
          </w:p>
        </w:tc>
        <w:tc>
          <w:tcPr>
            <w:tcW w:w="2058" w:type="dxa"/>
          </w:tcPr>
          <w:p w:rsidR="007C64B4" w:rsidRPr="002820C9" w:rsidRDefault="007C64B4" w:rsidP="007C64B4">
            <w:pPr>
              <w:jc w:val="center"/>
              <w:rPr>
                <w:b/>
                <w:color w:val="000000"/>
                <w:sz w:val="22"/>
                <w:lang w:val="en-GB"/>
              </w:rPr>
            </w:pPr>
            <w:r w:rsidRPr="00811885">
              <w:rPr>
                <w:b/>
                <w:color w:val="000000"/>
                <w:sz w:val="22"/>
                <w:szCs w:val="22"/>
                <w:lang w:val="en-GB"/>
              </w:rPr>
              <w:t>×</w:t>
            </w:r>
            <w:r w:rsidRPr="00811885">
              <w:rPr>
                <w:rStyle w:val="Appelnotedebasdep"/>
                <w:color w:val="000000"/>
                <w:sz w:val="22"/>
                <w:szCs w:val="22"/>
                <w:lang w:val="en-GB"/>
              </w:rPr>
              <w:footnoteReference w:id="4"/>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r w:rsidRPr="00811885">
              <w:rPr>
                <w:color w:val="000000"/>
                <w:sz w:val="22"/>
                <w:szCs w:val="22"/>
                <w:lang w:val="en-GB"/>
              </w:rPr>
              <w:t xml:space="preserve">, </w:t>
            </w:r>
            <w:r w:rsidRPr="00A53866">
              <w:rPr>
                <w:color w:val="000000"/>
                <w:sz w:val="18"/>
                <w:szCs w:val="22"/>
                <w:lang w:val="en-GB"/>
              </w:rPr>
              <w:t>if dominant RU</w:t>
            </w:r>
          </w:p>
        </w:tc>
        <w:tc>
          <w:tcPr>
            <w:tcW w:w="2379" w:type="dxa"/>
            <w:noWrap/>
          </w:tcPr>
          <w:p w:rsidR="007C64B4" w:rsidRPr="00811885" w:rsidRDefault="007C64B4" w:rsidP="007C64B4">
            <w:pPr>
              <w:jc w:val="center"/>
              <w:rPr>
                <w:color w:val="000000"/>
                <w:lang w:val="en-GB"/>
              </w:rPr>
            </w:pPr>
            <w:r w:rsidRPr="00811885">
              <w:rPr>
                <w:b/>
                <w:color w:val="000000"/>
                <w:sz w:val="22"/>
                <w:szCs w:val="22"/>
                <w:lang w:val="en-GB"/>
              </w:rPr>
              <w:t>×</w:t>
            </w:r>
          </w:p>
        </w:tc>
        <w:tc>
          <w:tcPr>
            <w:tcW w:w="1484" w:type="dxa"/>
          </w:tcPr>
          <w:p w:rsidR="007C64B4" w:rsidRPr="002820C9" w:rsidRDefault="007C64B4" w:rsidP="007C64B4">
            <w:pPr>
              <w:jc w:val="center"/>
              <w:rPr>
                <w:color w:val="000000"/>
                <w:sz w:val="22"/>
                <w:lang w:val="en-GB"/>
              </w:rPr>
            </w:pPr>
            <w:r w:rsidRPr="00811885">
              <w:rPr>
                <w:b/>
                <w:color w:val="000000"/>
                <w:sz w:val="22"/>
                <w:szCs w:val="22"/>
                <w:lang w:val="en-GB"/>
              </w:rPr>
              <w:t>×</w:t>
            </w:r>
          </w:p>
        </w:tc>
      </w:tr>
      <w:tr w:rsidR="00FD32FA" w:rsidRPr="00811885" w:rsidTr="00FD32FA">
        <w:trPr>
          <w:trHeight w:val="300"/>
        </w:trPr>
        <w:tc>
          <w:tcPr>
            <w:tcW w:w="1120" w:type="dxa"/>
            <w:noWrap/>
            <w:hideMark/>
          </w:tcPr>
          <w:p w:rsidR="007C64B4" w:rsidRPr="00811885" w:rsidRDefault="007C64B4" w:rsidP="007C64B4">
            <w:pPr>
              <w:rPr>
                <w:color w:val="000000"/>
                <w:lang w:val="en-GB"/>
              </w:rPr>
            </w:pPr>
            <w:r w:rsidRPr="00811885">
              <w:rPr>
                <w:color w:val="000000"/>
                <w:sz w:val="22"/>
                <w:szCs w:val="22"/>
                <w:lang w:val="en-GB"/>
              </w:rPr>
              <w:t>Norway</w:t>
            </w:r>
          </w:p>
        </w:tc>
        <w:tc>
          <w:tcPr>
            <w:tcW w:w="2058" w:type="dxa"/>
          </w:tcPr>
          <w:p w:rsidR="007C64B4" w:rsidRPr="002820C9" w:rsidRDefault="007C64B4" w:rsidP="007C64B4">
            <w:pPr>
              <w:jc w:val="center"/>
              <w:rPr>
                <w:b/>
                <w:color w:val="000000"/>
                <w:sz w:val="22"/>
                <w:lang w:val="en-GB"/>
              </w:rPr>
            </w:pPr>
            <w:r w:rsidRPr="00811885">
              <w:rPr>
                <w:b/>
                <w:color w:val="000000"/>
                <w:sz w:val="22"/>
                <w:szCs w:val="22"/>
                <w:lang w:val="en-GB"/>
              </w:rPr>
              <w:t>×</w:t>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r w:rsidRPr="00001EBB">
              <w:rPr>
                <w:color w:val="000000"/>
                <w:sz w:val="18"/>
                <w:szCs w:val="18"/>
                <w:lang w:val="en-GB"/>
              </w:rPr>
              <w:t>, if dominant RU</w:t>
            </w:r>
          </w:p>
        </w:tc>
        <w:tc>
          <w:tcPr>
            <w:tcW w:w="2379" w:type="dxa"/>
            <w:noWrap/>
          </w:tcPr>
          <w:p w:rsidR="007C64B4" w:rsidRPr="00811885" w:rsidRDefault="007C64B4" w:rsidP="007C64B4">
            <w:pPr>
              <w:jc w:val="center"/>
              <w:rPr>
                <w:color w:val="000000"/>
                <w:lang w:val="en-GB"/>
              </w:rPr>
            </w:pPr>
            <w:r w:rsidRPr="00811885">
              <w:rPr>
                <w:b/>
                <w:color w:val="000000"/>
                <w:sz w:val="22"/>
                <w:szCs w:val="22"/>
                <w:lang w:val="en-GB"/>
              </w:rPr>
              <w:t>×</w:t>
            </w:r>
          </w:p>
        </w:tc>
        <w:tc>
          <w:tcPr>
            <w:tcW w:w="1484" w:type="dxa"/>
          </w:tcPr>
          <w:p w:rsidR="007C64B4" w:rsidRPr="002820C9" w:rsidRDefault="007C64B4" w:rsidP="007C64B4">
            <w:pPr>
              <w:jc w:val="center"/>
              <w:rPr>
                <w:color w:val="000000"/>
                <w:sz w:val="22"/>
                <w:lang w:val="en-GB"/>
              </w:rPr>
            </w:pPr>
            <w:r w:rsidRPr="00811885">
              <w:rPr>
                <w:b/>
                <w:color w:val="000000"/>
                <w:sz w:val="22"/>
                <w:szCs w:val="22"/>
                <w:lang w:val="en-GB"/>
              </w:rPr>
              <w:t>×</w:t>
            </w:r>
          </w:p>
        </w:tc>
      </w:tr>
      <w:tr w:rsidR="00FD32FA" w:rsidRPr="00811885" w:rsidTr="00F718C3">
        <w:trPr>
          <w:trHeight w:val="257"/>
        </w:trPr>
        <w:tc>
          <w:tcPr>
            <w:tcW w:w="1120" w:type="dxa"/>
            <w:noWrap/>
            <w:hideMark/>
          </w:tcPr>
          <w:p w:rsidR="007C64B4" w:rsidRPr="00811885" w:rsidRDefault="007C64B4" w:rsidP="007C64B4">
            <w:pPr>
              <w:rPr>
                <w:color w:val="000000"/>
                <w:lang w:val="en-GB"/>
              </w:rPr>
            </w:pPr>
            <w:r w:rsidRPr="00811885">
              <w:rPr>
                <w:color w:val="000000"/>
                <w:sz w:val="22"/>
                <w:szCs w:val="22"/>
                <w:lang w:val="en-GB"/>
              </w:rPr>
              <w:t>Poland</w:t>
            </w:r>
          </w:p>
        </w:tc>
        <w:tc>
          <w:tcPr>
            <w:tcW w:w="2058" w:type="dxa"/>
          </w:tcPr>
          <w:p w:rsidR="007C64B4" w:rsidRPr="002820C9" w:rsidRDefault="007C64B4" w:rsidP="007C64B4">
            <w:pPr>
              <w:jc w:val="center"/>
              <w:rPr>
                <w:b/>
                <w:color w:val="000000"/>
                <w:sz w:val="22"/>
                <w:lang w:val="en-GB"/>
              </w:rPr>
            </w:pPr>
            <w:r w:rsidRPr="00811885">
              <w:rPr>
                <w:b/>
                <w:color w:val="000000"/>
                <w:sz w:val="22"/>
                <w:szCs w:val="22"/>
                <w:lang w:val="en-GB"/>
              </w:rPr>
              <w:t>×</w:t>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2379" w:type="dxa"/>
            <w:noWrap/>
          </w:tcPr>
          <w:p w:rsidR="007C64B4" w:rsidRPr="00811885" w:rsidRDefault="007C64B4" w:rsidP="007C64B4">
            <w:pPr>
              <w:jc w:val="center"/>
              <w:rPr>
                <w:color w:val="000000"/>
                <w:lang w:val="en-GB"/>
              </w:rPr>
            </w:pPr>
            <w:r w:rsidRPr="00811885">
              <w:rPr>
                <w:b/>
                <w:color w:val="000000"/>
                <w:sz w:val="22"/>
                <w:szCs w:val="22"/>
                <w:lang w:val="en-GB"/>
              </w:rPr>
              <w:t>×</w:t>
            </w:r>
          </w:p>
        </w:tc>
        <w:tc>
          <w:tcPr>
            <w:tcW w:w="1484" w:type="dxa"/>
          </w:tcPr>
          <w:p w:rsidR="007C64B4" w:rsidRPr="002820C9" w:rsidRDefault="007C64B4" w:rsidP="007C64B4">
            <w:pPr>
              <w:jc w:val="center"/>
              <w:rPr>
                <w:color w:val="000000"/>
                <w:sz w:val="22"/>
                <w:lang w:val="en-GB"/>
              </w:rPr>
            </w:pPr>
            <w:r w:rsidRPr="00811885">
              <w:rPr>
                <w:b/>
                <w:color w:val="000000"/>
                <w:sz w:val="22"/>
                <w:szCs w:val="22"/>
                <w:lang w:val="en-GB"/>
              </w:rPr>
              <w:t>×</w:t>
            </w:r>
          </w:p>
        </w:tc>
      </w:tr>
      <w:tr w:rsidR="00FD32FA" w:rsidRPr="00811885" w:rsidTr="00F718C3">
        <w:trPr>
          <w:trHeight w:val="229"/>
        </w:trPr>
        <w:tc>
          <w:tcPr>
            <w:tcW w:w="1120" w:type="dxa"/>
            <w:noWrap/>
          </w:tcPr>
          <w:p w:rsidR="007C64B4" w:rsidRPr="00811885" w:rsidRDefault="007C64B4" w:rsidP="007C64B4">
            <w:pPr>
              <w:rPr>
                <w:color w:val="000000"/>
                <w:sz w:val="22"/>
                <w:lang w:val="en-GB"/>
              </w:rPr>
            </w:pPr>
            <w:r w:rsidRPr="00811885">
              <w:rPr>
                <w:color w:val="000000"/>
                <w:sz w:val="22"/>
                <w:szCs w:val="22"/>
                <w:lang w:val="en-GB"/>
              </w:rPr>
              <w:t>Portugal</w:t>
            </w:r>
          </w:p>
        </w:tc>
        <w:tc>
          <w:tcPr>
            <w:tcW w:w="2058" w:type="dxa"/>
          </w:tcPr>
          <w:p w:rsidR="007C64B4" w:rsidRPr="00811885" w:rsidRDefault="007C64B4" w:rsidP="007C64B4">
            <w:pPr>
              <w:jc w:val="center"/>
              <w:rPr>
                <w:color w:val="000000"/>
                <w:sz w:val="22"/>
                <w:lang w:val="en-GB"/>
              </w:rPr>
            </w:pPr>
            <w:r w:rsidRPr="00811885">
              <w:rPr>
                <w:b/>
                <w:color w:val="000000"/>
                <w:sz w:val="22"/>
                <w:szCs w:val="22"/>
                <w:lang w:val="en-GB"/>
              </w:rPr>
              <w:t>×</w:t>
            </w:r>
          </w:p>
        </w:tc>
        <w:tc>
          <w:tcPr>
            <w:tcW w:w="2394" w:type="dxa"/>
            <w:noWrap/>
          </w:tcPr>
          <w:p w:rsidR="007C64B4" w:rsidRPr="00811885" w:rsidRDefault="007C64B4" w:rsidP="007C64B4">
            <w:pPr>
              <w:jc w:val="center"/>
              <w:rPr>
                <w:color w:val="000000"/>
                <w:sz w:val="22"/>
                <w:lang w:val="en-GB"/>
              </w:rPr>
            </w:pPr>
            <w:r w:rsidRPr="00811885">
              <w:rPr>
                <w:color w:val="000000"/>
                <w:sz w:val="22"/>
                <w:szCs w:val="22"/>
                <w:lang w:val="en-GB"/>
              </w:rPr>
              <w:sym w:font="Wingdings" w:char="F0FC"/>
            </w:r>
          </w:p>
        </w:tc>
        <w:tc>
          <w:tcPr>
            <w:tcW w:w="2379" w:type="dxa"/>
            <w:noWrap/>
          </w:tcPr>
          <w:p w:rsidR="007C64B4" w:rsidRPr="00811885" w:rsidRDefault="007C64B4" w:rsidP="007C64B4">
            <w:pPr>
              <w:jc w:val="center"/>
              <w:rPr>
                <w:color w:val="000000"/>
                <w:sz w:val="22"/>
                <w:lang w:val="en-GB"/>
              </w:rPr>
            </w:pPr>
            <w:r w:rsidRPr="00811885">
              <w:rPr>
                <w:b/>
                <w:color w:val="000000"/>
                <w:sz w:val="22"/>
                <w:szCs w:val="22"/>
                <w:lang w:val="en-GB"/>
              </w:rPr>
              <w:t>×</w:t>
            </w:r>
          </w:p>
        </w:tc>
        <w:tc>
          <w:tcPr>
            <w:tcW w:w="1484" w:type="dxa"/>
          </w:tcPr>
          <w:p w:rsidR="007C64B4" w:rsidRPr="00811885" w:rsidRDefault="007C64B4" w:rsidP="007C64B4">
            <w:pPr>
              <w:jc w:val="center"/>
              <w:rPr>
                <w:color w:val="000000"/>
                <w:sz w:val="22"/>
                <w:lang w:val="en-GB"/>
              </w:rPr>
            </w:pPr>
            <w:r w:rsidRPr="00811885">
              <w:rPr>
                <w:b/>
                <w:color w:val="000000"/>
                <w:sz w:val="22"/>
                <w:szCs w:val="22"/>
                <w:lang w:val="en-GB"/>
              </w:rPr>
              <w:t>×</w:t>
            </w:r>
            <w:r w:rsidRPr="007C64B4">
              <w:rPr>
                <w:rStyle w:val="Appelnotedebasdep"/>
                <w:color w:val="000000"/>
                <w:sz w:val="22"/>
                <w:szCs w:val="22"/>
                <w:lang w:val="en-GB"/>
              </w:rPr>
              <w:footnoteReference w:id="5"/>
            </w:r>
          </w:p>
        </w:tc>
      </w:tr>
      <w:tr w:rsidR="00FD32FA" w:rsidRPr="00811885" w:rsidTr="00F718C3">
        <w:trPr>
          <w:trHeight w:val="257"/>
        </w:trPr>
        <w:tc>
          <w:tcPr>
            <w:tcW w:w="1120" w:type="dxa"/>
            <w:noWrap/>
          </w:tcPr>
          <w:p w:rsidR="007C64B4" w:rsidRPr="00811885" w:rsidRDefault="007C64B4" w:rsidP="007C64B4">
            <w:pPr>
              <w:rPr>
                <w:color w:val="000000"/>
                <w:lang w:val="en-GB"/>
              </w:rPr>
            </w:pPr>
            <w:r w:rsidRPr="00811885">
              <w:rPr>
                <w:color w:val="000000"/>
                <w:sz w:val="22"/>
                <w:szCs w:val="22"/>
                <w:lang w:val="en-GB"/>
              </w:rPr>
              <w:t>Romania</w:t>
            </w:r>
          </w:p>
        </w:tc>
        <w:tc>
          <w:tcPr>
            <w:tcW w:w="2058"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2379"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r w:rsidRPr="00811885">
              <w:rPr>
                <w:color w:val="000000"/>
                <w:sz w:val="22"/>
                <w:szCs w:val="22"/>
                <w:lang w:val="en-GB"/>
              </w:rPr>
              <w:t xml:space="preserve">, </w:t>
            </w:r>
            <w:r w:rsidRPr="00A53866">
              <w:rPr>
                <w:color w:val="000000"/>
                <w:sz w:val="18"/>
                <w:szCs w:val="22"/>
                <w:lang w:val="en-GB"/>
              </w:rPr>
              <w:t>if dominant RU</w:t>
            </w:r>
          </w:p>
        </w:tc>
        <w:tc>
          <w:tcPr>
            <w:tcW w:w="1484"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r w:rsidRPr="00811885">
              <w:rPr>
                <w:color w:val="000000"/>
                <w:sz w:val="22"/>
                <w:szCs w:val="22"/>
                <w:lang w:val="en-GB"/>
              </w:rPr>
              <w:t xml:space="preserve">, </w:t>
            </w:r>
            <w:r w:rsidRPr="00A53866">
              <w:rPr>
                <w:color w:val="000000"/>
                <w:sz w:val="18"/>
                <w:szCs w:val="22"/>
                <w:lang w:val="en-GB"/>
              </w:rPr>
              <w:t>if dominant RU</w:t>
            </w:r>
          </w:p>
        </w:tc>
      </w:tr>
      <w:tr w:rsidR="00FD32FA" w:rsidRPr="00811885" w:rsidTr="00F718C3">
        <w:trPr>
          <w:trHeight w:val="244"/>
        </w:trPr>
        <w:tc>
          <w:tcPr>
            <w:tcW w:w="1120" w:type="dxa"/>
            <w:noWrap/>
            <w:hideMark/>
          </w:tcPr>
          <w:p w:rsidR="007C64B4" w:rsidRPr="00811885" w:rsidRDefault="007C64B4" w:rsidP="007C64B4">
            <w:pPr>
              <w:rPr>
                <w:color w:val="000000"/>
                <w:lang w:val="en-GB"/>
              </w:rPr>
            </w:pPr>
            <w:r w:rsidRPr="00811885">
              <w:rPr>
                <w:color w:val="000000"/>
                <w:sz w:val="22"/>
                <w:szCs w:val="22"/>
                <w:lang w:val="en-GB"/>
              </w:rPr>
              <w:t>Slovenia</w:t>
            </w:r>
          </w:p>
        </w:tc>
        <w:tc>
          <w:tcPr>
            <w:tcW w:w="2058"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2379"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1484"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r>
      <w:tr w:rsidR="00FD32FA" w:rsidRPr="00811885" w:rsidTr="00FD32FA">
        <w:trPr>
          <w:trHeight w:val="300"/>
        </w:trPr>
        <w:tc>
          <w:tcPr>
            <w:tcW w:w="1120" w:type="dxa"/>
            <w:noWrap/>
            <w:hideMark/>
          </w:tcPr>
          <w:p w:rsidR="007C64B4" w:rsidRPr="00811885" w:rsidRDefault="007C64B4" w:rsidP="007C64B4">
            <w:pPr>
              <w:rPr>
                <w:color w:val="000000"/>
                <w:lang w:val="en-GB"/>
              </w:rPr>
            </w:pPr>
            <w:r w:rsidRPr="00811885">
              <w:rPr>
                <w:color w:val="000000"/>
                <w:sz w:val="22"/>
                <w:szCs w:val="22"/>
                <w:lang w:val="en-GB"/>
              </w:rPr>
              <w:t>Spain</w:t>
            </w:r>
          </w:p>
        </w:tc>
        <w:tc>
          <w:tcPr>
            <w:tcW w:w="2058" w:type="dxa"/>
          </w:tcPr>
          <w:p w:rsidR="007C64B4" w:rsidRPr="002820C9" w:rsidRDefault="007C64B4" w:rsidP="007C64B4">
            <w:pPr>
              <w:jc w:val="center"/>
              <w:rPr>
                <w:color w:val="000000"/>
                <w:sz w:val="22"/>
                <w:lang w:val="en-GB"/>
              </w:rPr>
            </w:pPr>
            <w:r w:rsidRPr="00811885">
              <w:rPr>
                <w:b/>
                <w:color w:val="000000"/>
                <w:sz w:val="22"/>
                <w:szCs w:val="22"/>
                <w:lang w:val="en-GB"/>
              </w:rPr>
              <w:t>×</w:t>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r w:rsidRPr="00811885">
              <w:rPr>
                <w:color w:val="000000"/>
                <w:sz w:val="22"/>
                <w:szCs w:val="22"/>
                <w:lang w:val="en-GB"/>
              </w:rPr>
              <w:t xml:space="preserve">, </w:t>
            </w:r>
            <w:r w:rsidRPr="00A53866">
              <w:rPr>
                <w:color w:val="000000"/>
                <w:sz w:val="18"/>
                <w:szCs w:val="22"/>
                <w:lang w:val="en-GB"/>
              </w:rPr>
              <w:t>if dominant RU</w:t>
            </w:r>
          </w:p>
        </w:tc>
        <w:tc>
          <w:tcPr>
            <w:tcW w:w="2379" w:type="dxa"/>
            <w:noWrap/>
          </w:tcPr>
          <w:p w:rsidR="007C64B4" w:rsidRPr="00811885" w:rsidRDefault="007C64B4" w:rsidP="00C653EF">
            <w:pPr>
              <w:jc w:val="center"/>
              <w:rPr>
                <w:color w:val="000000"/>
                <w:lang w:val="en-GB"/>
              </w:rPr>
            </w:pPr>
            <w:r w:rsidRPr="00811885">
              <w:rPr>
                <w:color w:val="000000"/>
                <w:sz w:val="22"/>
                <w:szCs w:val="22"/>
                <w:lang w:val="en-GB"/>
              </w:rPr>
              <w:sym w:font="Wingdings" w:char="F0FC"/>
            </w:r>
            <w:r w:rsidR="00C653EF" w:rsidRPr="002B6AA7">
              <w:rPr>
                <w:color w:val="000000"/>
                <w:sz w:val="18"/>
                <w:szCs w:val="18"/>
                <w:lang w:val="en-GB"/>
              </w:rPr>
              <w:t>, if dominant RU</w:t>
            </w:r>
          </w:p>
        </w:tc>
        <w:tc>
          <w:tcPr>
            <w:tcW w:w="1484"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r>
      <w:tr w:rsidR="00FD32FA" w:rsidRPr="00811885" w:rsidTr="00FD32FA">
        <w:trPr>
          <w:trHeight w:val="300"/>
        </w:trPr>
        <w:tc>
          <w:tcPr>
            <w:tcW w:w="1120" w:type="dxa"/>
            <w:noWrap/>
            <w:hideMark/>
          </w:tcPr>
          <w:p w:rsidR="007C64B4" w:rsidRPr="00811885" w:rsidRDefault="007C64B4" w:rsidP="007C64B4">
            <w:pPr>
              <w:rPr>
                <w:color w:val="000000"/>
                <w:lang w:val="en-GB"/>
              </w:rPr>
            </w:pPr>
            <w:r w:rsidRPr="00811885">
              <w:rPr>
                <w:color w:val="000000"/>
                <w:sz w:val="22"/>
                <w:szCs w:val="22"/>
                <w:lang w:val="en-GB"/>
              </w:rPr>
              <w:t>Sweden</w:t>
            </w:r>
          </w:p>
        </w:tc>
        <w:tc>
          <w:tcPr>
            <w:tcW w:w="2058" w:type="dxa"/>
          </w:tcPr>
          <w:p w:rsidR="007C64B4" w:rsidRPr="002820C9" w:rsidRDefault="007C64B4" w:rsidP="007C64B4">
            <w:pPr>
              <w:jc w:val="center"/>
              <w:rPr>
                <w:b/>
                <w:color w:val="000000"/>
                <w:sz w:val="22"/>
                <w:lang w:val="en-GB"/>
              </w:rPr>
            </w:pPr>
            <w:r w:rsidRPr="00811885">
              <w:rPr>
                <w:color w:val="000000"/>
                <w:sz w:val="22"/>
                <w:szCs w:val="22"/>
                <w:lang w:val="en-GB"/>
              </w:rPr>
              <w:sym w:font="Wingdings" w:char="F0FC"/>
            </w:r>
            <w:r>
              <w:rPr>
                <w:color w:val="000000"/>
                <w:sz w:val="22"/>
                <w:szCs w:val="22"/>
                <w:lang w:val="en-GB"/>
              </w:rPr>
              <w:t xml:space="preserve">, </w:t>
            </w:r>
            <w:r w:rsidRPr="002820C9">
              <w:rPr>
                <w:color w:val="000000"/>
                <w:sz w:val="18"/>
                <w:szCs w:val="18"/>
                <w:lang w:val="en-GB"/>
              </w:rPr>
              <w:t>if dominant RU</w:t>
            </w:r>
          </w:p>
        </w:tc>
        <w:tc>
          <w:tcPr>
            <w:tcW w:w="2394" w:type="dxa"/>
            <w:noWrap/>
          </w:tcPr>
          <w:p w:rsidR="007C64B4" w:rsidRPr="00811885" w:rsidRDefault="007C64B4" w:rsidP="007C64B4">
            <w:pPr>
              <w:jc w:val="center"/>
              <w:rPr>
                <w:b/>
                <w:color w:val="000000"/>
                <w:lang w:val="en-GB"/>
              </w:rPr>
            </w:pPr>
            <w:r w:rsidRPr="00811885">
              <w:rPr>
                <w:color w:val="000000"/>
                <w:sz w:val="22"/>
                <w:szCs w:val="22"/>
                <w:lang w:val="en-GB"/>
              </w:rPr>
              <w:sym w:font="Wingdings" w:char="F0FC"/>
            </w:r>
            <w:r w:rsidRPr="00811885">
              <w:rPr>
                <w:color w:val="000000"/>
                <w:sz w:val="22"/>
                <w:szCs w:val="22"/>
                <w:lang w:val="en-GB"/>
              </w:rPr>
              <w:t xml:space="preserve">, </w:t>
            </w:r>
            <w:r w:rsidRPr="002820C9">
              <w:rPr>
                <w:color w:val="000000"/>
                <w:sz w:val="18"/>
                <w:szCs w:val="18"/>
                <w:lang w:val="en-GB"/>
              </w:rPr>
              <w:t xml:space="preserve">for Annex II p. 2 services </w:t>
            </w:r>
            <w:r w:rsidRPr="00A53866">
              <w:rPr>
                <w:color w:val="000000"/>
                <w:sz w:val="18"/>
                <w:szCs w:val="22"/>
                <w:lang w:val="en-GB"/>
              </w:rPr>
              <w:t>if dominant RU</w:t>
            </w:r>
          </w:p>
        </w:tc>
        <w:tc>
          <w:tcPr>
            <w:tcW w:w="2379"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r w:rsidRPr="00811885">
              <w:rPr>
                <w:color w:val="000000"/>
                <w:sz w:val="22"/>
                <w:szCs w:val="22"/>
                <w:lang w:val="en-GB"/>
              </w:rPr>
              <w:t xml:space="preserve">, </w:t>
            </w:r>
            <w:r w:rsidRPr="002820C9">
              <w:rPr>
                <w:color w:val="000000"/>
                <w:sz w:val="18"/>
                <w:szCs w:val="18"/>
                <w:lang w:val="en-GB"/>
              </w:rPr>
              <w:t>for Annex II p. 2 services</w:t>
            </w:r>
            <w:r>
              <w:rPr>
                <w:color w:val="000000"/>
                <w:sz w:val="22"/>
                <w:szCs w:val="22"/>
                <w:lang w:val="en-GB"/>
              </w:rPr>
              <w:t xml:space="preserve"> </w:t>
            </w:r>
            <w:r w:rsidRPr="00A53866">
              <w:rPr>
                <w:color w:val="000000"/>
                <w:sz w:val="18"/>
                <w:szCs w:val="22"/>
                <w:lang w:val="en-GB"/>
              </w:rPr>
              <w:t>if dominant RU</w:t>
            </w:r>
            <w:r w:rsidRPr="00811885">
              <w:rPr>
                <w:b/>
                <w:color w:val="000000"/>
                <w:sz w:val="22"/>
                <w:szCs w:val="22"/>
                <w:lang w:val="en-GB"/>
              </w:rPr>
              <w:t xml:space="preserve"> </w:t>
            </w:r>
          </w:p>
        </w:tc>
        <w:tc>
          <w:tcPr>
            <w:tcW w:w="1484"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r>
      <w:tr w:rsidR="00FD32FA" w:rsidRPr="00811885" w:rsidTr="00F718C3">
        <w:trPr>
          <w:trHeight w:val="113"/>
        </w:trPr>
        <w:tc>
          <w:tcPr>
            <w:tcW w:w="1120" w:type="dxa"/>
            <w:noWrap/>
            <w:hideMark/>
          </w:tcPr>
          <w:p w:rsidR="007C64B4" w:rsidRPr="00811885" w:rsidRDefault="007C64B4" w:rsidP="007C64B4">
            <w:pPr>
              <w:rPr>
                <w:color w:val="000000"/>
                <w:lang w:val="en-GB"/>
              </w:rPr>
            </w:pPr>
            <w:r w:rsidRPr="00811885">
              <w:rPr>
                <w:color w:val="000000"/>
                <w:sz w:val="22"/>
                <w:szCs w:val="22"/>
                <w:lang w:val="en-GB"/>
              </w:rPr>
              <w:t>UK</w:t>
            </w:r>
          </w:p>
        </w:tc>
        <w:tc>
          <w:tcPr>
            <w:tcW w:w="2058" w:type="dxa"/>
          </w:tcPr>
          <w:p w:rsidR="007C64B4" w:rsidRPr="002820C9" w:rsidRDefault="007C64B4" w:rsidP="007C64B4">
            <w:pPr>
              <w:jc w:val="center"/>
              <w:rPr>
                <w:color w:val="000000"/>
                <w:sz w:val="22"/>
                <w:lang w:val="en-GB"/>
              </w:rPr>
            </w:pPr>
            <w:r w:rsidRPr="00811885">
              <w:rPr>
                <w:color w:val="000000"/>
                <w:sz w:val="22"/>
                <w:szCs w:val="22"/>
                <w:lang w:val="en-GB"/>
              </w:rPr>
              <w:sym w:font="Wingdings" w:char="F0FC"/>
            </w:r>
          </w:p>
        </w:tc>
        <w:tc>
          <w:tcPr>
            <w:tcW w:w="2394"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2379" w:type="dxa"/>
            <w:noWrap/>
          </w:tcPr>
          <w:p w:rsidR="007C64B4" w:rsidRPr="00811885" w:rsidRDefault="007C64B4" w:rsidP="007C64B4">
            <w:pPr>
              <w:jc w:val="center"/>
              <w:rPr>
                <w:color w:val="000000"/>
                <w:lang w:val="en-GB"/>
              </w:rPr>
            </w:pPr>
            <w:r w:rsidRPr="00811885">
              <w:rPr>
                <w:color w:val="000000"/>
                <w:sz w:val="22"/>
                <w:szCs w:val="22"/>
                <w:lang w:val="en-GB"/>
              </w:rPr>
              <w:sym w:font="Wingdings" w:char="F0FC"/>
            </w:r>
          </w:p>
        </w:tc>
        <w:tc>
          <w:tcPr>
            <w:tcW w:w="1484" w:type="dxa"/>
          </w:tcPr>
          <w:p w:rsidR="007C64B4" w:rsidRPr="002820C9" w:rsidRDefault="007C64B4" w:rsidP="007C64B4">
            <w:pPr>
              <w:jc w:val="center"/>
              <w:rPr>
                <w:b/>
                <w:color w:val="000000"/>
                <w:sz w:val="22"/>
                <w:lang w:val="en-GB"/>
              </w:rPr>
            </w:pPr>
            <w:r w:rsidRPr="00811885">
              <w:rPr>
                <w:color w:val="000000"/>
                <w:sz w:val="22"/>
                <w:szCs w:val="22"/>
                <w:lang w:val="en-GB"/>
              </w:rPr>
              <w:sym w:font="Wingdings" w:char="F0FC"/>
            </w:r>
          </w:p>
        </w:tc>
      </w:tr>
    </w:tbl>
    <w:p w:rsidR="007C64B4" w:rsidRPr="00334AA3" w:rsidRDefault="007C64B4" w:rsidP="00A50606">
      <w:pPr>
        <w:spacing w:line="360" w:lineRule="auto"/>
        <w:jc w:val="center"/>
        <w:rPr>
          <w:sz w:val="20"/>
          <w:lang w:val="en-GB"/>
        </w:rPr>
      </w:pPr>
      <w:r w:rsidRPr="007C64B4">
        <w:rPr>
          <w:sz w:val="20"/>
          <w:lang w:val="en-GB"/>
        </w:rPr>
        <w:t xml:space="preserve">Table </w:t>
      </w:r>
      <w:r w:rsidRPr="007C64B4">
        <w:rPr>
          <w:sz w:val="20"/>
          <w:lang w:val="en-GB"/>
        </w:rPr>
        <w:fldChar w:fldCharType="begin"/>
      </w:r>
      <w:r w:rsidRPr="007C64B4">
        <w:rPr>
          <w:sz w:val="20"/>
          <w:lang w:val="en-GB"/>
        </w:rPr>
        <w:instrText xml:space="preserve"> SEQ Table \* ARABIC </w:instrText>
      </w:r>
      <w:r w:rsidRPr="007C64B4">
        <w:rPr>
          <w:sz w:val="20"/>
          <w:lang w:val="en-GB"/>
        </w:rPr>
        <w:fldChar w:fldCharType="separate"/>
      </w:r>
      <w:r w:rsidR="0099201F">
        <w:rPr>
          <w:noProof/>
          <w:sz w:val="20"/>
          <w:lang w:val="en-GB"/>
        </w:rPr>
        <w:t>2</w:t>
      </w:r>
      <w:r w:rsidRPr="007C64B4">
        <w:rPr>
          <w:sz w:val="20"/>
          <w:lang w:val="en-GB"/>
        </w:rPr>
        <w:fldChar w:fldCharType="end"/>
      </w:r>
      <w:r>
        <w:rPr>
          <w:sz w:val="20"/>
          <w:lang w:val="en-GB"/>
        </w:rPr>
        <w:t xml:space="preserve">: </w:t>
      </w:r>
      <w:r w:rsidRPr="00A96026">
        <w:rPr>
          <w:sz w:val="20"/>
          <w:lang w:val="en-GB"/>
        </w:rPr>
        <w:t xml:space="preserve">Answers on </w:t>
      </w:r>
      <w:r w:rsidRPr="00334AA3">
        <w:rPr>
          <w:sz w:val="20"/>
          <w:lang w:val="en-GB"/>
        </w:rPr>
        <w:t>account</w:t>
      </w:r>
      <w:r>
        <w:rPr>
          <w:sz w:val="20"/>
          <w:lang w:val="en-GB"/>
        </w:rPr>
        <w:t>ing</w:t>
      </w:r>
      <w:r w:rsidRPr="00334AA3">
        <w:rPr>
          <w:sz w:val="20"/>
          <w:lang w:val="en-GB"/>
        </w:rPr>
        <w:t xml:space="preserve"> separation</w:t>
      </w:r>
    </w:p>
    <w:p w:rsidR="007C64B4" w:rsidRPr="004816A1" w:rsidRDefault="007C64B4" w:rsidP="00CF43EF">
      <w:pPr>
        <w:pStyle w:val="NormalWeb"/>
        <w:spacing w:before="0" w:beforeAutospacing="0" w:after="200" w:afterAutospacing="0"/>
        <w:jc w:val="both"/>
        <w:rPr>
          <w:lang w:val="en-US"/>
        </w:rPr>
      </w:pPr>
      <w:r>
        <w:rPr>
          <w:lang w:val="en-GB"/>
        </w:rPr>
        <w:t xml:space="preserve">Please note that the questionnaire makes no difference between an accounting separation requirement and the requirement of producing separate accounts. Article 6 of the Recast provides that Member states shall ensure the separation of accounts between transport service businesses and the operation of railway infrastructure and between freight and passenger services. Concerning service facilities, </w:t>
      </w:r>
      <w:r w:rsidR="003A1B34">
        <w:rPr>
          <w:lang w:val="en-GB"/>
        </w:rPr>
        <w:t>A</w:t>
      </w:r>
      <w:r>
        <w:rPr>
          <w:lang w:val="en-GB"/>
        </w:rPr>
        <w:t>rticle 13 (3) of the Recast states that an operator of a service facility referred to in Annex II point 2 and the body or firm controlling it shall have separate accounts, including separate balance sheets and profit and loss accounts</w:t>
      </w:r>
      <w:r w:rsidR="00C13C84">
        <w:rPr>
          <w:lang w:val="en-GB"/>
        </w:rPr>
        <w:t xml:space="preserve">. In </w:t>
      </w:r>
      <w:r w:rsidR="002C2E6E">
        <w:rPr>
          <w:lang w:val="en-GB"/>
        </w:rPr>
        <w:t xml:space="preserve">Austria and </w:t>
      </w:r>
      <w:r w:rsidR="00C13C84">
        <w:rPr>
          <w:lang w:val="en-GB"/>
        </w:rPr>
        <w:t xml:space="preserve">Sweden for instance, this obligation only applies in the case where the </w:t>
      </w:r>
      <w:r>
        <w:rPr>
          <w:lang w:val="en-GB"/>
        </w:rPr>
        <w:t xml:space="preserve">body or </w:t>
      </w:r>
      <w:r w:rsidR="00C13C84">
        <w:rPr>
          <w:lang w:val="en-GB"/>
        </w:rPr>
        <w:t xml:space="preserve">the </w:t>
      </w:r>
      <w:r>
        <w:rPr>
          <w:lang w:val="en-GB"/>
        </w:rPr>
        <w:t>firm holds a dominant position in national railway transport services markets for which the facility is used</w:t>
      </w:r>
      <w:r w:rsidR="00C13C84">
        <w:rPr>
          <w:lang w:val="en-GB"/>
        </w:rPr>
        <w:t xml:space="preserve"> whereas in </w:t>
      </w:r>
      <w:r w:rsidR="00C653EF">
        <w:rPr>
          <w:lang w:val="en-GB"/>
        </w:rPr>
        <w:t>French legislation</w:t>
      </w:r>
      <w:r w:rsidR="00C13C84">
        <w:rPr>
          <w:lang w:val="en-GB"/>
        </w:rPr>
        <w:t>, all service facilities under the control of a railway undertaking shall have separate accounts</w:t>
      </w:r>
      <w:r>
        <w:rPr>
          <w:lang w:val="en-GB"/>
        </w:rPr>
        <w:t>.</w:t>
      </w:r>
      <w:r w:rsidR="00C13C84">
        <w:rPr>
          <w:lang w:val="en-GB"/>
        </w:rPr>
        <w:t xml:space="preserve"> This d</w:t>
      </w:r>
      <w:r w:rsidR="003A1B34">
        <w:rPr>
          <w:lang w:val="en-GB"/>
        </w:rPr>
        <w:t>ifference of interpretation of A</w:t>
      </w:r>
      <w:r w:rsidR="00C13C84">
        <w:rPr>
          <w:lang w:val="en-GB"/>
        </w:rPr>
        <w:t>rticle 13 (3) shows the heterogeneity of situations across IRG-Rail members in the way account separation is achieved. Besides</w:t>
      </w:r>
      <w:r>
        <w:rPr>
          <w:lang w:val="en-GB"/>
        </w:rPr>
        <w:t xml:space="preserve"> </w:t>
      </w:r>
      <w:r w:rsidR="00C13C84">
        <w:rPr>
          <w:lang w:val="en-GB"/>
        </w:rPr>
        <w:t xml:space="preserve">some </w:t>
      </w:r>
      <w:r>
        <w:rPr>
          <w:lang w:val="en-GB"/>
        </w:rPr>
        <w:t>IRG-Rail members consider that those two provisions</w:t>
      </w:r>
      <w:r w:rsidR="00C13C84">
        <w:rPr>
          <w:lang w:val="en-GB"/>
        </w:rPr>
        <w:t xml:space="preserve"> – on </w:t>
      </w:r>
      <w:r w:rsidR="00C13C84">
        <w:rPr>
          <w:lang w:val="en-GB"/>
        </w:rPr>
        <w:lastRenderedPageBreak/>
        <w:t>accounting separation and on the production of separate accounts –</w:t>
      </w:r>
      <w:r>
        <w:rPr>
          <w:lang w:val="en-GB"/>
        </w:rPr>
        <w:t xml:space="preserve"> correspond to two different levels of duties for the operators. Such differences, if they exist, are not reflected in the questionnaire and therefore are not discussed in this paper.</w:t>
      </w:r>
    </w:p>
    <w:p w:rsidR="007C64B4" w:rsidRPr="00B92FA1" w:rsidRDefault="007C64B4" w:rsidP="00F718C3">
      <w:pPr>
        <w:spacing w:before="240" w:after="240"/>
        <w:jc w:val="both"/>
        <w:rPr>
          <w:lang w:val="en-GB"/>
        </w:rPr>
      </w:pPr>
      <w:r w:rsidRPr="00B92FA1">
        <w:rPr>
          <w:lang w:val="en-GB"/>
        </w:rPr>
        <w:t>In many countries an account</w:t>
      </w:r>
      <w:r>
        <w:rPr>
          <w:lang w:val="en-GB"/>
        </w:rPr>
        <w:t>ing</w:t>
      </w:r>
      <w:r w:rsidRPr="00B92FA1">
        <w:rPr>
          <w:lang w:val="en-GB"/>
        </w:rPr>
        <w:t xml:space="preserve"> separation is required when </w:t>
      </w:r>
      <w:r>
        <w:rPr>
          <w:lang w:val="en-GB"/>
        </w:rPr>
        <w:t>an operator of a service facility</w:t>
      </w:r>
      <w:r w:rsidRPr="00B92FA1">
        <w:rPr>
          <w:lang w:val="en-GB"/>
        </w:rPr>
        <w:t xml:space="preserve"> offers more than one service. In France</w:t>
      </w:r>
      <w:r>
        <w:rPr>
          <w:lang w:val="en-GB"/>
        </w:rPr>
        <w:t>,</w:t>
      </w:r>
      <w:r w:rsidRPr="00B92FA1">
        <w:rPr>
          <w:lang w:val="en-GB"/>
        </w:rPr>
        <w:t xml:space="preserve"> the account</w:t>
      </w:r>
      <w:r>
        <w:rPr>
          <w:lang w:val="en-GB"/>
        </w:rPr>
        <w:t>ing</w:t>
      </w:r>
      <w:r w:rsidRPr="00B92FA1">
        <w:rPr>
          <w:lang w:val="en-GB"/>
        </w:rPr>
        <w:t xml:space="preserve"> separation is </w:t>
      </w:r>
      <w:r>
        <w:rPr>
          <w:lang w:val="en-GB"/>
        </w:rPr>
        <w:t xml:space="preserve">mandatory when the operator of a service facility is included in </w:t>
      </w:r>
      <w:r w:rsidRPr="00B92FA1">
        <w:rPr>
          <w:lang w:val="en-GB"/>
        </w:rPr>
        <w:t>an organisation</w:t>
      </w:r>
      <w:r>
        <w:rPr>
          <w:lang w:val="en-GB"/>
        </w:rPr>
        <w:t xml:space="preserve"> operating rail services (freight and/or passenger) or in SNCF Réseau – the infrastructure manager</w:t>
      </w:r>
      <w:r w:rsidRPr="00B92FA1">
        <w:rPr>
          <w:lang w:val="en-GB"/>
        </w:rPr>
        <w:t>. In Italy</w:t>
      </w:r>
      <w:r>
        <w:rPr>
          <w:lang w:val="en-GB"/>
        </w:rPr>
        <w:t>,</w:t>
      </w:r>
      <w:r w:rsidRPr="00B92FA1">
        <w:rPr>
          <w:lang w:val="en-GB"/>
        </w:rPr>
        <w:t xml:space="preserve"> it depends </w:t>
      </w:r>
      <w:r w:rsidR="001878D7">
        <w:rPr>
          <w:lang w:val="en-GB"/>
        </w:rPr>
        <w:t xml:space="preserve">on the concerned service and the type of service provider; accounting separation is required if, for example: the concerned service is access to passenger stations; </w:t>
      </w:r>
      <w:r w:rsidRPr="00B92FA1">
        <w:rPr>
          <w:lang w:val="en-GB"/>
        </w:rPr>
        <w:t xml:space="preserve">if the service provider is a </w:t>
      </w:r>
      <w:r w:rsidR="00C3305F">
        <w:rPr>
          <w:lang w:val="en-GB"/>
        </w:rPr>
        <w:t>body or firm which is also active and holds a dominant position in national railway transport services market for which the facility is used</w:t>
      </w:r>
      <w:r w:rsidR="001878D7">
        <w:rPr>
          <w:lang w:val="en-GB"/>
        </w:rPr>
        <w:t>; or the service provider has significant market power</w:t>
      </w:r>
      <w:r w:rsidR="001878D7">
        <w:rPr>
          <w:rStyle w:val="Appelnotedebasdep"/>
          <w:lang w:val="en-GB"/>
        </w:rPr>
        <w:footnoteReference w:id="6"/>
      </w:r>
      <w:r>
        <w:rPr>
          <w:lang w:val="en-GB"/>
        </w:rPr>
        <w:t>.</w:t>
      </w:r>
      <w:r w:rsidRPr="00B92FA1">
        <w:rPr>
          <w:lang w:val="en-GB"/>
        </w:rPr>
        <w:t xml:space="preserve"> In Spain</w:t>
      </w:r>
      <w:r>
        <w:rPr>
          <w:lang w:val="en-GB"/>
        </w:rPr>
        <w:t xml:space="preserve"> and Sweden separate accounts are</w:t>
      </w:r>
      <w:r w:rsidRPr="00B92FA1">
        <w:rPr>
          <w:lang w:val="en-GB"/>
        </w:rPr>
        <w:t xml:space="preserve"> only necessary if the </w:t>
      </w:r>
      <w:r>
        <w:rPr>
          <w:lang w:val="en-GB"/>
        </w:rPr>
        <w:t>service facility operator</w:t>
      </w:r>
      <w:r w:rsidRPr="00B92FA1">
        <w:rPr>
          <w:lang w:val="en-GB"/>
        </w:rPr>
        <w:t xml:space="preserve"> is directly or indirectly owned by a dominant </w:t>
      </w:r>
      <w:r>
        <w:rPr>
          <w:lang w:val="en-GB"/>
        </w:rPr>
        <w:t>railway undertaking – and in Sweden this only applies to Annex II point 2 services.</w:t>
      </w:r>
      <w:r w:rsidRPr="00B92FA1" w:rsidDel="00E62D9E">
        <w:rPr>
          <w:lang w:val="en-GB"/>
        </w:rPr>
        <w:t xml:space="preserve"> </w:t>
      </w:r>
      <w:r w:rsidR="003A1B34">
        <w:rPr>
          <w:lang w:val="en-GB"/>
        </w:rPr>
        <w:t>In the UK, A</w:t>
      </w:r>
      <w:r>
        <w:rPr>
          <w:lang w:val="en-GB"/>
        </w:rPr>
        <w:t>rticle 13 (3) has been fully transposed into domestic legislation. The regulatory body has powers to request any relevant party to provide accounting information to allow it carrying out audits to verify compliance with accounting separation provisions.</w:t>
      </w:r>
    </w:p>
    <w:p w:rsidR="007C64B4" w:rsidRDefault="007C64B4" w:rsidP="00F718C3">
      <w:pPr>
        <w:spacing w:after="240"/>
        <w:jc w:val="both"/>
        <w:rPr>
          <w:lang w:val="en-GB"/>
        </w:rPr>
      </w:pPr>
      <w:r>
        <w:rPr>
          <w:lang w:val="en-GB"/>
        </w:rPr>
        <w:t>F</w:t>
      </w:r>
      <w:r w:rsidRPr="00B92FA1">
        <w:rPr>
          <w:lang w:val="en-GB"/>
        </w:rPr>
        <w:t>urther question</w:t>
      </w:r>
      <w:r>
        <w:rPr>
          <w:lang w:val="en-GB"/>
        </w:rPr>
        <w:t>s</w:t>
      </w:r>
      <w:r w:rsidRPr="00B92FA1">
        <w:rPr>
          <w:lang w:val="en-GB"/>
        </w:rPr>
        <w:t xml:space="preserve"> </w:t>
      </w:r>
      <w:r>
        <w:rPr>
          <w:lang w:val="en-GB"/>
        </w:rPr>
        <w:t xml:space="preserve">in the questionnaire </w:t>
      </w:r>
      <w:r w:rsidRPr="00B92FA1">
        <w:rPr>
          <w:lang w:val="en-GB"/>
        </w:rPr>
        <w:t>deal with account</w:t>
      </w:r>
      <w:r>
        <w:rPr>
          <w:lang w:val="en-GB"/>
        </w:rPr>
        <w:t>ing</w:t>
      </w:r>
      <w:r w:rsidRPr="00B92FA1">
        <w:rPr>
          <w:lang w:val="en-GB"/>
        </w:rPr>
        <w:t xml:space="preserve"> separation if the </w:t>
      </w:r>
      <w:r>
        <w:rPr>
          <w:lang w:val="en-GB"/>
        </w:rPr>
        <w:t>service facility operator</w:t>
      </w:r>
      <w:r w:rsidRPr="00B92FA1">
        <w:rPr>
          <w:lang w:val="en-GB"/>
        </w:rPr>
        <w:t xml:space="preserve"> is owned by a dominant </w:t>
      </w:r>
      <w:r>
        <w:rPr>
          <w:lang w:val="en-GB"/>
        </w:rPr>
        <w:t>railway undertaking</w:t>
      </w:r>
      <w:r w:rsidRPr="00B92FA1">
        <w:rPr>
          <w:lang w:val="en-GB"/>
        </w:rPr>
        <w:t xml:space="preserve"> or </w:t>
      </w:r>
      <w:r>
        <w:rPr>
          <w:lang w:val="en-GB"/>
        </w:rPr>
        <w:t>an</w:t>
      </w:r>
      <w:r w:rsidRPr="00B92FA1">
        <w:rPr>
          <w:lang w:val="en-GB"/>
        </w:rPr>
        <w:t xml:space="preserve"> </w:t>
      </w:r>
      <w:r>
        <w:rPr>
          <w:lang w:val="en-GB"/>
        </w:rPr>
        <w:t>infrastructure manager</w:t>
      </w:r>
      <w:r w:rsidRPr="00B92FA1">
        <w:rPr>
          <w:lang w:val="en-GB"/>
        </w:rPr>
        <w:t xml:space="preserve">. </w:t>
      </w:r>
      <w:r>
        <w:rPr>
          <w:lang w:val="en-GB"/>
        </w:rPr>
        <w:t>I</w:t>
      </w:r>
      <w:r w:rsidRPr="00B92FA1">
        <w:rPr>
          <w:lang w:val="en-GB"/>
        </w:rPr>
        <w:t xml:space="preserve">n the Recast </w:t>
      </w:r>
      <w:r>
        <w:rPr>
          <w:lang w:val="en-GB"/>
        </w:rPr>
        <w:t>t</w:t>
      </w:r>
      <w:r w:rsidRPr="00B92FA1">
        <w:rPr>
          <w:lang w:val="en-GB"/>
        </w:rPr>
        <w:t xml:space="preserve">here is no definition of “dominant </w:t>
      </w:r>
      <w:r>
        <w:rPr>
          <w:lang w:val="en-GB"/>
        </w:rPr>
        <w:t>railway undertaking</w:t>
      </w:r>
      <w:r w:rsidRPr="00B92FA1">
        <w:rPr>
          <w:lang w:val="en-GB"/>
        </w:rPr>
        <w:t>”</w:t>
      </w:r>
      <w:r>
        <w:rPr>
          <w:lang w:val="en-GB"/>
        </w:rPr>
        <w:t>.</w:t>
      </w:r>
      <w:r w:rsidRPr="00B92FA1">
        <w:rPr>
          <w:lang w:val="en-GB"/>
        </w:rPr>
        <w:t xml:space="preserve"> </w:t>
      </w:r>
    </w:p>
    <w:p w:rsidR="007C64B4" w:rsidRPr="00B92FA1" w:rsidRDefault="007C64B4" w:rsidP="007C64B4">
      <w:pPr>
        <w:jc w:val="both"/>
        <w:rPr>
          <w:lang w:val="en-GB"/>
        </w:rPr>
      </w:pPr>
      <w:r w:rsidRPr="00B92FA1">
        <w:rPr>
          <w:lang w:val="en-GB"/>
        </w:rPr>
        <w:t>Furthermore</w:t>
      </w:r>
      <w:r>
        <w:rPr>
          <w:lang w:val="en-GB"/>
        </w:rPr>
        <w:t>,</w:t>
      </w:r>
      <w:r w:rsidRPr="00B92FA1">
        <w:rPr>
          <w:lang w:val="en-GB"/>
        </w:rPr>
        <w:t xml:space="preserve"> an account</w:t>
      </w:r>
      <w:r>
        <w:rPr>
          <w:lang w:val="en-GB"/>
        </w:rPr>
        <w:t>ing</w:t>
      </w:r>
      <w:r w:rsidRPr="00B92FA1">
        <w:rPr>
          <w:lang w:val="en-GB"/>
        </w:rPr>
        <w:t xml:space="preserve"> separation for </w:t>
      </w:r>
      <w:r>
        <w:rPr>
          <w:lang w:val="en-GB"/>
        </w:rPr>
        <w:t>service facility operator</w:t>
      </w:r>
      <w:r w:rsidRPr="00B92FA1">
        <w:rPr>
          <w:lang w:val="en-GB"/>
        </w:rPr>
        <w:t xml:space="preserve"> is requested in some countries, if the </w:t>
      </w:r>
      <w:r>
        <w:rPr>
          <w:lang w:val="en-GB"/>
        </w:rPr>
        <w:t>service facility operator</w:t>
      </w:r>
      <w:r w:rsidRPr="00B92FA1">
        <w:rPr>
          <w:lang w:val="en-GB"/>
        </w:rPr>
        <w:t xml:space="preserve"> is owned by </w:t>
      </w:r>
      <w:r>
        <w:rPr>
          <w:lang w:val="en-GB"/>
        </w:rPr>
        <w:t>an</w:t>
      </w:r>
      <w:r w:rsidRPr="00B92FA1">
        <w:rPr>
          <w:lang w:val="en-GB"/>
        </w:rPr>
        <w:t xml:space="preserve"> </w:t>
      </w:r>
      <w:r>
        <w:rPr>
          <w:lang w:val="en-GB"/>
        </w:rPr>
        <w:t>infrastructure manager</w:t>
      </w:r>
      <w:r w:rsidRPr="00B92FA1">
        <w:rPr>
          <w:lang w:val="en-GB"/>
        </w:rPr>
        <w:t xml:space="preserve">. </w:t>
      </w:r>
      <w:r>
        <w:rPr>
          <w:lang w:val="en-GB"/>
        </w:rPr>
        <w:t>This is foreseen i</w:t>
      </w:r>
      <w:r w:rsidRPr="00B92FA1">
        <w:rPr>
          <w:lang w:val="en-GB"/>
        </w:rPr>
        <w:t xml:space="preserve">n </w:t>
      </w:r>
      <w:r>
        <w:rPr>
          <w:lang w:val="en-GB"/>
        </w:rPr>
        <w:t>about</w:t>
      </w:r>
      <w:r w:rsidRPr="00B92FA1">
        <w:rPr>
          <w:lang w:val="en-GB"/>
        </w:rPr>
        <w:t xml:space="preserve"> half of the </w:t>
      </w:r>
      <w:r>
        <w:rPr>
          <w:lang w:val="en-GB"/>
        </w:rPr>
        <w:t xml:space="preserve">IRG-Rail </w:t>
      </w:r>
      <w:r w:rsidRPr="00B92FA1">
        <w:rPr>
          <w:lang w:val="en-GB"/>
        </w:rPr>
        <w:t>members (</w:t>
      </w:r>
      <w:r w:rsidR="00C653EF">
        <w:rPr>
          <w:lang w:val="en-GB"/>
        </w:rPr>
        <w:t>eleven</w:t>
      </w:r>
      <w:r w:rsidR="00C653EF" w:rsidRPr="00B92FA1">
        <w:rPr>
          <w:lang w:val="en-GB"/>
        </w:rPr>
        <w:t xml:space="preserve"> </w:t>
      </w:r>
      <w:r w:rsidRPr="00B92FA1">
        <w:rPr>
          <w:lang w:val="en-GB"/>
        </w:rPr>
        <w:t>countries</w:t>
      </w:r>
      <w:r>
        <w:rPr>
          <w:rStyle w:val="Appelnotedebasdep"/>
          <w:lang w:val="en-GB"/>
        </w:rPr>
        <w:footnoteReference w:id="7"/>
      </w:r>
      <w:r w:rsidRPr="00B92FA1">
        <w:rPr>
          <w:lang w:val="en-GB"/>
        </w:rPr>
        <w:t>)</w:t>
      </w:r>
      <w:r>
        <w:rPr>
          <w:lang w:val="en-GB"/>
        </w:rPr>
        <w:t>.</w:t>
      </w:r>
      <w:r w:rsidRPr="00B92FA1">
        <w:rPr>
          <w:lang w:val="en-GB"/>
        </w:rPr>
        <w:t xml:space="preserve"> This is </w:t>
      </w:r>
      <w:r>
        <w:rPr>
          <w:lang w:val="en-GB"/>
        </w:rPr>
        <w:t xml:space="preserve">the case </w:t>
      </w:r>
      <w:r w:rsidRPr="00B92FA1">
        <w:rPr>
          <w:lang w:val="en-GB"/>
        </w:rPr>
        <w:t>for example in Belgium</w:t>
      </w:r>
      <w:r>
        <w:rPr>
          <w:lang w:val="en-GB"/>
        </w:rPr>
        <w:t xml:space="preserve"> or</w:t>
      </w:r>
      <w:r w:rsidRPr="00B92FA1">
        <w:rPr>
          <w:lang w:val="en-GB"/>
        </w:rPr>
        <w:t xml:space="preserve"> Bulgaria.</w:t>
      </w:r>
      <w:r w:rsidR="00A50606">
        <w:rPr>
          <w:lang w:val="en-GB"/>
        </w:rPr>
        <w:t xml:space="preserve"> </w:t>
      </w:r>
      <w:r w:rsidRPr="00B92FA1">
        <w:rPr>
          <w:lang w:val="en-GB"/>
        </w:rPr>
        <w:t xml:space="preserve">In </w:t>
      </w:r>
      <w:r w:rsidR="00C653EF">
        <w:rPr>
          <w:lang w:val="en-GB"/>
        </w:rPr>
        <w:t>ten</w:t>
      </w:r>
      <w:r w:rsidR="00C653EF" w:rsidRPr="00B92FA1">
        <w:rPr>
          <w:lang w:val="en-GB"/>
        </w:rPr>
        <w:t xml:space="preserve"> </w:t>
      </w:r>
      <w:r w:rsidRPr="00B92FA1">
        <w:rPr>
          <w:lang w:val="en-GB"/>
        </w:rPr>
        <w:t xml:space="preserve">countries there is an obligation for </w:t>
      </w:r>
      <w:r>
        <w:rPr>
          <w:lang w:val="en-GB"/>
        </w:rPr>
        <w:t xml:space="preserve">a </w:t>
      </w:r>
      <w:r w:rsidRPr="00B92FA1">
        <w:rPr>
          <w:lang w:val="en-GB"/>
        </w:rPr>
        <w:t>regulatory accounting system</w:t>
      </w:r>
      <w:r w:rsidR="001878D7">
        <w:rPr>
          <w:rStyle w:val="Appelnotedebasdep"/>
          <w:lang w:val="en-GB"/>
        </w:rPr>
        <w:footnoteReference w:id="8"/>
      </w:r>
      <w:r w:rsidRPr="00B92FA1">
        <w:rPr>
          <w:lang w:val="en-GB"/>
        </w:rPr>
        <w:t xml:space="preserve">. </w:t>
      </w:r>
      <w:r>
        <w:rPr>
          <w:lang w:val="en-GB"/>
        </w:rPr>
        <w:t>However, half of the</w:t>
      </w:r>
      <w:r w:rsidRPr="00B92FA1">
        <w:rPr>
          <w:lang w:val="en-GB"/>
        </w:rPr>
        <w:t xml:space="preserve"> countries </w:t>
      </w:r>
      <w:r>
        <w:rPr>
          <w:lang w:val="en-GB"/>
        </w:rPr>
        <w:t>do not</w:t>
      </w:r>
      <w:r w:rsidRPr="00B92FA1">
        <w:rPr>
          <w:lang w:val="en-GB"/>
        </w:rPr>
        <w:t xml:space="preserve"> have a regulatory accounting system. </w:t>
      </w:r>
    </w:p>
    <w:p w:rsidR="007C64B4" w:rsidRPr="00F718C3" w:rsidRDefault="007C64B4" w:rsidP="007C64B4">
      <w:pPr>
        <w:rPr>
          <w:sz w:val="22"/>
          <w:lang w:val="en-GB"/>
        </w:rPr>
      </w:pPr>
    </w:p>
    <w:p w:rsidR="007C64B4" w:rsidRPr="00FD32FA" w:rsidRDefault="007C64B4" w:rsidP="00F718C3">
      <w:pPr>
        <w:pStyle w:val="Paragraphedeliste"/>
        <w:numPr>
          <w:ilvl w:val="0"/>
          <w:numId w:val="28"/>
        </w:numPr>
        <w:spacing w:line="240" w:lineRule="auto"/>
        <w:ind w:left="714" w:hanging="357"/>
        <w:jc w:val="both"/>
        <w:rPr>
          <w:rFonts w:ascii="Times New Roman" w:hAnsi="Times New Roman"/>
          <w:b/>
          <w:color w:val="000000" w:themeColor="text1"/>
          <w:sz w:val="24"/>
        </w:rPr>
      </w:pPr>
      <w:r w:rsidRPr="00FD32FA">
        <w:rPr>
          <w:rFonts w:ascii="Times New Roman" w:hAnsi="Times New Roman"/>
          <w:b/>
          <w:color w:val="000000" w:themeColor="text1"/>
          <w:sz w:val="24"/>
        </w:rPr>
        <w:t>Powers of the regulatory body</w:t>
      </w:r>
    </w:p>
    <w:p w:rsidR="007C64B4" w:rsidRPr="00B92FA1" w:rsidRDefault="007C64B4" w:rsidP="00A50606">
      <w:pPr>
        <w:spacing w:after="240"/>
        <w:jc w:val="both"/>
        <w:rPr>
          <w:lang w:val="en-GB"/>
        </w:rPr>
      </w:pPr>
      <w:r>
        <w:rPr>
          <w:lang w:val="en-GB"/>
        </w:rPr>
        <w:t>T</w:t>
      </w:r>
      <w:r w:rsidRPr="00B92FA1">
        <w:rPr>
          <w:lang w:val="en-GB"/>
        </w:rPr>
        <w:t xml:space="preserve">he charging principles </w:t>
      </w:r>
      <w:r>
        <w:rPr>
          <w:lang w:val="en-GB"/>
        </w:rPr>
        <w:t>as well as</w:t>
      </w:r>
      <w:r w:rsidRPr="00B92FA1">
        <w:rPr>
          <w:lang w:val="en-GB"/>
        </w:rPr>
        <w:t xml:space="preserve"> the powers of the regulatory bodies vary </w:t>
      </w:r>
      <w:r>
        <w:rPr>
          <w:lang w:val="en-GB"/>
        </w:rPr>
        <w:t>among</w:t>
      </w:r>
      <w:r w:rsidRPr="00B92FA1">
        <w:rPr>
          <w:lang w:val="en-GB"/>
        </w:rPr>
        <w:t xml:space="preserve"> the IRG-Rail members. </w:t>
      </w:r>
      <w:r w:rsidRPr="00D70455">
        <w:rPr>
          <w:lang w:val="en-US"/>
        </w:rPr>
        <w:t xml:space="preserve">All </w:t>
      </w:r>
      <w:r>
        <w:rPr>
          <w:lang w:val="en-US"/>
        </w:rPr>
        <w:t>regulatory bodie</w:t>
      </w:r>
      <w:r w:rsidRPr="00D70455">
        <w:rPr>
          <w:lang w:val="en-US"/>
        </w:rPr>
        <w:t>s have the authority to investigate the charg</w:t>
      </w:r>
      <w:r>
        <w:rPr>
          <w:lang w:val="en-US"/>
        </w:rPr>
        <w:t>ing</w:t>
      </w:r>
      <w:r w:rsidRPr="00D70455">
        <w:rPr>
          <w:lang w:val="en-US"/>
        </w:rPr>
        <w:t xml:space="preserve"> principles</w:t>
      </w:r>
      <w:r>
        <w:rPr>
          <w:lang w:val="en-US"/>
        </w:rPr>
        <w:t xml:space="preserve"> for service facilities</w:t>
      </w:r>
      <w:r w:rsidRPr="00D70455">
        <w:rPr>
          <w:lang w:val="en-US"/>
        </w:rPr>
        <w:t>, but make use of this authority very differently</w:t>
      </w:r>
      <w:r w:rsidRPr="00B92FA1">
        <w:rPr>
          <w:lang w:val="en-GB"/>
        </w:rPr>
        <w:t>.</w:t>
      </w:r>
      <w:r>
        <w:rPr>
          <w:lang w:val="en-GB"/>
        </w:rPr>
        <w:t xml:space="preserve"> The following table deals with two main issues regarding the process of setting charges. The first column refers to any consultation between at least the service facility operator and the applicants. The following columns relate to the powers of regulatory bodies in relation to charges for access to service facilities and rail-related services. In order to reflect the very different situations among IRG-Rail members, the table below distinguishes between a non-binding ex-ante advice, a legally-binding ex-ante opinion</w:t>
      </w:r>
      <w:r>
        <w:rPr>
          <w:rStyle w:val="Appelnotedebasdep"/>
          <w:lang w:val="en-GB"/>
        </w:rPr>
        <w:footnoteReference w:id="9"/>
      </w:r>
      <w:r>
        <w:rPr>
          <w:lang w:val="en-GB"/>
        </w:rPr>
        <w:t xml:space="preserve"> and a legally-binding ex-post decision. Ex-post decisions provided on applied charges could arise from ex-officio procedure or from </w:t>
      </w:r>
      <w:r w:rsidRPr="00282478">
        <w:rPr>
          <w:lang w:val="en-GB"/>
        </w:rPr>
        <w:t>handling</w:t>
      </w:r>
      <w:r>
        <w:rPr>
          <w:lang w:val="en-GB"/>
        </w:rPr>
        <w:t xml:space="preserve"> of a complaint lodged by applicants.</w:t>
      </w:r>
    </w:p>
    <w:tbl>
      <w:tblPr>
        <w:tblStyle w:val="Grilledutableau"/>
        <w:tblW w:w="9757" w:type="dxa"/>
        <w:tblLayout w:type="fixed"/>
        <w:tblCellMar>
          <w:left w:w="28" w:type="dxa"/>
          <w:right w:w="28" w:type="dxa"/>
        </w:tblCellMar>
        <w:tblLook w:val="04A0" w:firstRow="1" w:lastRow="0" w:firstColumn="1" w:lastColumn="0" w:noHBand="0" w:noVBand="1"/>
      </w:tblPr>
      <w:tblGrid>
        <w:gridCol w:w="1162"/>
        <w:gridCol w:w="1752"/>
        <w:gridCol w:w="1395"/>
        <w:gridCol w:w="1263"/>
        <w:gridCol w:w="951"/>
        <w:gridCol w:w="896"/>
        <w:gridCol w:w="2338"/>
      </w:tblGrid>
      <w:tr w:rsidR="007C64B4" w:rsidRPr="00282239" w:rsidTr="002D24CC">
        <w:trPr>
          <w:trHeight w:val="249"/>
        </w:trPr>
        <w:tc>
          <w:tcPr>
            <w:tcW w:w="1162" w:type="dxa"/>
            <w:vMerge w:val="restart"/>
            <w:noWrap/>
            <w:hideMark/>
          </w:tcPr>
          <w:p w:rsidR="007C64B4" w:rsidRPr="00B92FA1" w:rsidRDefault="007C64B4" w:rsidP="007C64B4">
            <w:pPr>
              <w:rPr>
                <w:color w:val="000000"/>
                <w:lang w:val="en-GB"/>
              </w:rPr>
            </w:pPr>
          </w:p>
        </w:tc>
        <w:tc>
          <w:tcPr>
            <w:tcW w:w="1752" w:type="dxa"/>
            <w:vMerge w:val="restart"/>
          </w:tcPr>
          <w:p w:rsidR="007C64B4" w:rsidRPr="00B92FA1" w:rsidRDefault="007C64B4" w:rsidP="007C64B4">
            <w:pPr>
              <w:jc w:val="center"/>
              <w:rPr>
                <w:color w:val="000000"/>
                <w:lang w:val="en-GB"/>
              </w:rPr>
            </w:pPr>
            <w:r w:rsidRPr="00B92FA1">
              <w:rPr>
                <w:color w:val="000000"/>
                <w:sz w:val="22"/>
                <w:szCs w:val="22"/>
                <w:lang w:val="en-GB"/>
              </w:rPr>
              <w:t>Consultation process in setting charges</w:t>
            </w:r>
            <w:r>
              <w:rPr>
                <w:color w:val="000000"/>
                <w:sz w:val="22"/>
                <w:szCs w:val="22"/>
                <w:lang w:val="en-GB"/>
              </w:rPr>
              <w:t xml:space="preserve"> for service facilities</w:t>
            </w:r>
          </w:p>
        </w:tc>
        <w:tc>
          <w:tcPr>
            <w:tcW w:w="1395" w:type="dxa"/>
            <w:vMerge w:val="restart"/>
            <w:noWrap/>
            <w:hideMark/>
          </w:tcPr>
          <w:p w:rsidR="007C64B4" w:rsidRPr="00B92FA1" w:rsidRDefault="007C64B4" w:rsidP="007C64B4">
            <w:pPr>
              <w:jc w:val="center"/>
              <w:rPr>
                <w:color w:val="000000"/>
                <w:lang w:val="en-GB"/>
              </w:rPr>
            </w:pPr>
            <w:r>
              <w:rPr>
                <w:color w:val="000000"/>
                <w:sz w:val="22"/>
                <w:szCs w:val="22"/>
                <w:lang w:val="en-GB"/>
              </w:rPr>
              <w:t xml:space="preserve">Regulatory body </w:t>
            </w:r>
            <w:r w:rsidRPr="00B92FA1">
              <w:rPr>
                <w:color w:val="000000"/>
                <w:sz w:val="22"/>
                <w:szCs w:val="22"/>
                <w:lang w:val="en-GB"/>
              </w:rPr>
              <w:t xml:space="preserve">involved in consultation </w:t>
            </w:r>
          </w:p>
        </w:tc>
        <w:tc>
          <w:tcPr>
            <w:tcW w:w="3110" w:type="dxa"/>
            <w:gridSpan w:val="3"/>
            <w:noWrap/>
            <w:hideMark/>
          </w:tcPr>
          <w:p w:rsidR="007C64B4" w:rsidRPr="008424C7" w:rsidRDefault="007C64B4" w:rsidP="007C64B4">
            <w:pPr>
              <w:jc w:val="center"/>
              <w:rPr>
                <w:color w:val="000000"/>
                <w:sz w:val="22"/>
                <w:lang w:val="en-GB"/>
              </w:rPr>
            </w:pPr>
            <w:r w:rsidRPr="00B92FA1">
              <w:rPr>
                <w:color w:val="000000"/>
                <w:sz w:val="22"/>
                <w:szCs w:val="22"/>
                <w:lang w:val="en-GB"/>
              </w:rPr>
              <w:t xml:space="preserve">Does </w:t>
            </w:r>
            <w:r>
              <w:rPr>
                <w:color w:val="000000"/>
                <w:sz w:val="22"/>
                <w:szCs w:val="22"/>
                <w:lang w:val="en-GB"/>
              </w:rPr>
              <w:t>regulatory body</w:t>
            </w:r>
            <w:r w:rsidRPr="00B92FA1">
              <w:rPr>
                <w:color w:val="000000"/>
                <w:sz w:val="22"/>
                <w:szCs w:val="22"/>
                <w:lang w:val="en-GB"/>
              </w:rPr>
              <w:t xml:space="preserve"> provide </w:t>
            </w:r>
          </w:p>
        </w:tc>
        <w:tc>
          <w:tcPr>
            <w:tcW w:w="2338" w:type="dxa"/>
            <w:vMerge w:val="restart"/>
            <w:noWrap/>
            <w:hideMark/>
          </w:tcPr>
          <w:p w:rsidR="007C64B4" w:rsidRPr="00B92FA1" w:rsidRDefault="007C64B4" w:rsidP="007C64B4">
            <w:pPr>
              <w:jc w:val="center"/>
              <w:rPr>
                <w:color w:val="000000"/>
                <w:lang w:val="en-GB"/>
              </w:rPr>
            </w:pPr>
            <w:r w:rsidRPr="00B92FA1">
              <w:rPr>
                <w:color w:val="000000"/>
                <w:sz w:val="22"/>
                <w:szCs w:val="22"/>
                <w:lang w:val="en-GB"/>
              </w:rPr>
              <w:t>Legal basis fo</w:t>
            </w:r>
            <w:r w:rsidRPr="00CC325D">
              <w:rPr>
                <w:color w:val="000000"/>
                <w:sz w:val="22"/>
                <w:szCs w:val="22"/>
                <w:lang w:val="en-GB"/>
              </w:rPr>
              <w:t>r advice</w:t>
            </w:r>
            <w:r w:rsidRPr="00CC325D">
              <w:rPr>
                <w:color w:val="000000"/>
                <w:sz w:val="22"/>
                <w:szCs w:val="22"/>
                <w:lang w:val="en-GB"/>
              </w:rPr>
              <w:br/>
              <w:t>on charges or principles</w:t>
            </w:r>
          </w:p>
        </w:tc>
      </w:tr>
      <w:tr w:rsidR="002D24CC" w:rsidRPr="00642BFC" w:rsidTr="002D24CC">
        <w:trPr>
          <w:trHeight w:val="766"/>
        </w:trPr>
        <w:tc>
          <w:tcPr>
            <w:tcW w:w="1162" w:type="dxa"/>
            <w:vMerge/>
            <w:noWrap/>
          </w:tcPr>
          <w:p w:rsidR="007C64B4" w:rsidRPr="00B92FA1" w:rsidRDefault="007C64B4" w:rsidP="007C64B4">
            <w:pPr>
              <w:rPr>
                <w:color w:val="000000"/>
                <w:lang w:val="en-GB"/>
              </w:rPr>
            </w:pPr>
          </w:p>
        </w:tc>
        <w:tc>
          <w:tcPr>
            <w:tcW w:w="1752" w:type="dxa"/>
            <w:vMerge/>
          </w:tcPr>
          <w:p w:rsidR="007C64B4" w:rsidRPr="008424C7" w:rsidRDefault="007C64B4" w:rsidP="007C64B4">
            <w:pPr>
              <w:jc w:val="center"/>
              <w:rPr>
                <w:color w:val="000000"/>
                <w:sz w:val="22"/>
                <w:lang w:val="en-GB"/>
              </w:rPr>
            </w:pPr>
          </w:p>
        </w:tc>
        <w:tc>
          <w:tcPr>
            <w:tcW w:w="1395" w:type="dxa"/>
            <w:vMerge/>
            <w:noWrap/>
          </w:tcPr>
          <w:p w:rsidR="007C64B4" w:rsidRPr="008424C7" w:rsidRDefault="007C64B4" w:rsidP="007C64B4">
            <w:pPr>
              <w:jc w:val="center"/>
              <w:rPr>
                <w:color w:val="000000"/>
                <w:sz w:val="22"/>
                <w:lang w:val="en-GB"/>
              </w:rPr>
            </w:pPr>
          </w:p>
        </w:tc>
        <w:tc>
          <w:tcPr>
            <w:tcW w:w="1263" w:type="dxa"/>
            <w:noWrap/>
          </w:tcPr>
          <w:p w:rsidR="002D24CC" w:rsidRDefault="007C64B4" w:rsidP="002D24CC">
            <w:pPr>
              <w:jc w:val="center"/>
              <w:rPr>
                <w:color w:val="000000"/>
                <w:sz w:val="22"/>
                <w:szCs w:val="22"/>
                <w:lang w:val="fr-FR"/>
              </w:rPr>
            </w:pPr>
            <w:r w:rsidRPr="0072489C">
              <w:rPr>
                <w:color w:val="000000"/>
                <w:sz w:val="22"/>
                <w:szCs w:val="22"/>
                <w:lang w:val="fr-FR"/>
              </w:rPr>
              <w:t xml:space="preserve">Ex-ante </w:t>
            </w:r>
            <w:proofErr w:type="spellStart"/>
            <w:r w:rsidRPr="0072489C">
              <w:rPr>
                <w:color w:val="000000"/>
                <w:sz w:val="22"/>
                <w:szCs w:val="22"/>
                <w:lang w:val="fr-FR"/>
              </w:rPr>
              <w:t>advice</w:t>
            </w:r>
            <w:proofErr w:type="spellEnd"/>
            <w:r w:rsidRPr="0072489C">
              <w:rPr>
                <w:color w:val="000000"/>
                <w:sz w:val="22"/>
                <w:szCs w:val="22"/>
                <w:lang w:val="fr-FR"/>
              </w:rPr>
              <w:t xml:space="preserve"> </w:t>
            </w:r>
          </w:p>
          <w:p w:rsidR="007C64B4" w:rsidRPr="002D24CC" w:rsidRDefault="007C64B4" w:rsidP="002D24CC">
            <w:pPr>
              <w:jc w:val="center"/>
              <w:rPr>
                <w:color w:val="000000"/>
                <w:sz w:val="22"/>
                <w:szCs w:val="22"/>
                <w:lang w:val="fr-FR"/>
              </w:rPr>
            </w:pPr>
            <w:r w:rsidRPr="0072489C">
              <w:rPr>
                <w:color w:val="000000"/>
                <w:sz w:val="22"/>
                <w:szCs w:val="22"/>
                <w:lang w:val="fr-FR"/>
              </w:rPr>
              <w:t xml:space="preserve">(non </w:t>
            </w:r>
            <w:proofErr w:type="spellStart"/>
            <w:r w:rsidRPr="0072489C">
              <w:rPr>
                <w:color w:val="000000"/>
                <w:sz w:val="22"/>
                <w:szCs w:val="22"/>
                <w:lang w:val="fr-FR"/>
              </w:rPr>
              <w:t>binding</w:t>
            </w:r>
            <w:proofErr w:type="spellEnd"/>
            <w:r w:rsidRPr="0072489C">
              <w:rPr>
                <w:color w:val="000000"/>
                <w:sz w:val="22"/>
                <w:szCs w:val="22"/>
                <w:lang w:val="fr-FR"/>
              </w:rPr>
              <w:t>)</w:t>
            </w:r>
          </w:p>
        </w:tc>
        <w:tc>
          <w:tcPr>
            <w:tcW w:w="951" w:type="dxa"/>
          </w:tcPr>
          <w:p w:rsidR="007C64B4" w:rsidRPr="008424C7" w:rsidRDefault="007C64B4" w:rsidP="007C64B4">
            <w:pPr>
              <w:jc w:val="center"/>
              <w:rPr>
                <w:color w:val="000000"/>
                <w:sz w:val="22"/>
                <w:lang w:val="en-GB"/>
              </w:rPr>
            </w:pPr>
            <w:r w:rsidRPr="00E76D0F">
              <w:rPr>
                <w:color w:val="000000"/>
                <w:sz w:val="22"/>
                <w:szCs w:val="22"/>
                <w:lang w:val="en-GB"/>
              </w:rPr>
              <w:t>Ex-ante opinion (binding)</w:t>
            </w:r>
          </w:p>
        </w:tc>
        <w:tc>
          <w:tcPr>
            <w:tcW w:w="896" w:type="dxa"/>
          </w:tcPr>
          <w:p w:rsidR="007C64B4" w:rsidRPr="008424C7" w:rsidRDefault="007C64B4" w:rsidP="007C64B4">
            <w:pPr>
              <w:jc w:val="center"/>
              <w:rPr>
                <w:color w:val="000000"/>
                <w:sz w:val="22"/>
                <w:lang w:val="en-GB"/>
              </w:rPr>
            </w:pPr>
            <w:r w:rsidRPr="00CA22F2">
              <w:rPr>
                <w:color w:val="000000"/>
                <w:sz w:val="22"/>
                <w:szCs w:val="22"/>
                <w:lang w:val="en-GB"/>
              </w:rPr>
              <w:t>Ex-post decision</w:t>
            </w:r>
          </w:p>
        </w:tc>
        <w:tc>
          <w:tcPr>
            <w:tcW w:w="2338" w:type="dxa"/>
            <w:vMerge/>
            <w:noWrap/>
          </w:tcPr>
          <w:p w:rsidR="007C64B4" w:rsidRPr="008424C7" w:rsidRDefault="007C64B4" w:rsidP="007C64B4">
            <w:pPr>
              <w:jc w:val="center"/>
              <w:rPr>
                <w:color w:val="000000"/>
                <w:sz w:val="22"/>
                <w:lang w:val="en-GB"/>
              </w:rPr>
            </w:pPr>
          </w:p>
        </w:tc>
      </w:tr>
      <w:tr w:rsidR="002D24CC" w:rsidRPr="00B92FA1" w:rsidTr="002D24CC">
        <w:trPr>
          <w:trHeight w:val="217"/>
        </w:trPr>
        <w:tc>
          <w:tcPr>
            <w:tcW w:w="1162" w:type="dxa"/>
            <w:noWrap/>
            <w:hideMark/>
          </w:tcPr>
          <w:p w:rsidR="007C64B4" w:rsidRPr="00B92FA1" w:rsidRDefault="007C64B4" w:rsidP="007C64B4">
            <w:pPr>
              <w:rPr>
                <w:color w:val="000000"/>
                <w:lang w:val="en-GB"/>
              </w:rPr>
            </w:pPr>
            <w:r w:rsidRPr="00B92FA1">
              <w:rPr>
                <w:color w:val="000000"/>
                <w:sz w:val="22"/>
                <w:szCs w:val="22"/>
                <w:lang w:val="en-GB"/>
              </w:rPr>
              <w:t>Austria</w:t>
            </w:r>
          </w:p>
        </w:tc>
        <w:tc>
          <w:tcPr>
            <w:tcW w:w="1752" w:type="dxa"/>
            <w:vAlign w:val="center"/>
          </w:tcPr>
          <w:p w:rsidR="007C64B4" w:rsidRPr="00B92FA1" w:rsidRDefault="007C64B4" w:rsidP="007C64B4">
            <w:pPr>
              <w:jc w:val="center"/>
              <w:rPr>
                <w:color w:val="000000"/>
                <w:lang w:val="en-GB"/>
              </w:rPr>
            </w:pPr>
            <w:r w:rsidRPr="00B92FA1">
              <w:rPr>
                <w:b/>
                <w:color w:val="000000"/>
                <w:sz w:val="22"/>
                <w:szCs w:val="22"/>
                <w:lang w:val="en-GB"/>
              </w:rPr>
              <w:t>×</w:t>
            </w:r>
          </w:p>
        </w:tc>
        <w:tc>
          <w:tcPr>
            <w:tcW w:w="1395" w:type="dxa"/>
            <w:noWrap/>
            <w:vAlign w:val="center"/>
            <w:hideMark/>
          </w:tcPr>
          <w:p w:rsidR="007C64B4" w:rsidRPr="00061900" w:rsidRDefault="007C64B4" w:rsidP="007C64B4">
            <w:pPr>
              <w:jc w:val="center"/>
              <w:rPr>
                <w:color w:val="000000"/>
                <w:sz w:val="20"/>
                <w:lang w:val="en-GB"/>
              </w:rPr>
            </w:pPr>
            <w:r w:rsidRPr="00061900">
              <w:rPr>
                <w:color w:val="000000"/>
                <w:sz w:val="20"/>
                <w:szCs w:val="22"/>
                <w:lang w:val="en-GB"/>
              </w:rPr>
              <w:t>N/A</w:t>
            </w:r>
          </w:p>
        </w:tc>
        <w:tc>
          <w:tcPr>
            <w:tcW w:w="1263" w:type="dxa"/>
            <w:noWrap/>
            <w:vAlign w:val="center"/>
            <w:hideMark/>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951" w:type="dxa"/>
            <w:vAlign w:val="center"/>
          </w:tcPr>
          <w:p w:rsidR="007C64B4" w:rsidRPr="008424C7" w:rsidRDefault="007C64B4" w:rsidP="007C64B4">
            <w:pPr>
              <w:jc w:val="center"/>
              <w:rPr>
                <w:color w:val="000000"/>
                <w:sz w:val="22"/>
                <w:lang w:val="en-GB"/>
              </w:rPr>
            </w:pPr>
            <w:r w:rsidRPr="00B92FA1">
              <w:rPr>
                <w:color w:val="000000"/>
                <w:sz w:val="22"/>
                <w:szCs w:val="22"/>
                <w:lang w:val="en-GB"/>
              </w:rPr>
              <w:sym w:font="Wingdings" w:char="F0FC"/>
            </w:r>
            <w:r>
              <w:rPr>
                <w:rStyle w:val="Appelnotedebasdep"/>
                <w:color w:val="000000"/>
                <w:sz w:val="22"/>
                <w:szCs w:val="22"/>
                <w:lang w:val="en-GB"/>
              </w:rPr>
              <w:footnoteReference w:id="10"/>
            </w:r>
          </w:p>
        </w:tc>
        <w:tc>
          <w:tcPr>
            <w:tcW w:w="896" w:type="dxa"/>
            <w:vAlign w:val="center"/>
          </w:tcPr>
          <w:p w:rsidR="007C64B4" w:rsidRPr="007411AC" w:rsidRDefault="007C64B4" w:rsidP="007C64B4">
            <w:pPr>
              <w:jc w:val="center"/>
              <w:rPr>
                <w:color w:val="000000"/>
                <w:sz w:val="22"/>
                <w:lang w:val="en-GB"/>
              </w:rPr>
            </w:pPr>
            <w:r w:rsidRPr="00B92FA1">
              <w:rPr>
                <w:color w:val="000000"/>
                <w:sz w:val="22"/>
                <w:szCs w:val="22"/>
                <w:lang w:val="en-GB"/>
              </w:rPr>
              <w:sym w:font="Wingdings" w:char="F0FC"/>
            </w:r>
          </w:p>
        </w:tc>
        <w:tc>
          <w:tcPr>
            <w:tcW w:w="2338" w:type="dxa"/>
            <w:noWrap/>
            <w:vAlign w:val="center"/>
            <w:hideMark/>
          </w:tcPr>
          <w:p w:rsidR="007C64B4" w:rsidRPr="004D1F0F" w:rsidRDefault="007C64B4" w:rsidP="007C64B4">
            <w:pPr>
              <w:jc w:val="center"/>
              <w:rPr>
                <w:color w:val="000000"/>
                <w:sz w:val="20"/>
                <w:lang w:val="en-GB"/>
              </w:rPr>
            </w:pPr>
          </w:p>
        </w:tc>
      </w:tr>
      <w:tr w:rsidR="007C64B4" w:rsidRPr="00B92FA1" w:rsidTr="002D24CC">
        <w:trPr>
          <w:trHeight w:val="236"/>
        </w:trPr>
        <w:tc>
          <w:tcPr>
            <w:tcW w:w="1162" w:type="dxa"/>
            <w:noWrap/>
            <w:hideMark/>
          </w:tcPr>
          <w:p w:rsidR="007C64B4" w:rsidRPr="00B92FA1" w:rsidRDefault="007C64B4" w:rsidP="007C64B4">
            <w:pPr>
              <w:rPr>
                <w:color w:val="000000"/>
                <w:lang w:val="en-GB"/>
              </w:rPr>
            </w:pPr>
            <w:r w:rsidRPr="00B92FA1">
              <w:rPr>
                <w:color w:val="000000"/>
                <w:sz w:val="22"/>
                <w:szCs w:val="22"/>
                <w:lang w:val="en-GB"/>
              </w:rPr>
              <w:t>Belgium</w:t>
            </w:r>
          </w:p>
        </w:tc>
        <w:tc>
          <w:tcPr>
            <w:tcW w:w="1752" w:type="dxa"/>
            <w:vAlign w:val="center"/>
          </w:tcPr>
          <w:p w:rsidR="007C64B4" w:rsidRPr="00B92FA1" w:rsidRDefault="007C64B4" w:rsidP="007C64B4">
            <w:pPr>
              <w:jc w:val="center"/>
              <w:rPr>
                <w:color w:val="000000"/>
                <w:lang w:val="en-GB"/>
              </w:rPr>
            </w:pPr>
            <w:r w:rsidRPr="00B92FA1">
              <w:rPr>
                <w:b/>
                <w:color w:val="000000"/>
                <w:sz w:val="22"/>
                <w:szCs w:val="22"/>
                <w:lang w:val="en-GB"/>
              </w:rPr>
              <w:t>×</w:t>
            </w:r>
          </w:p>
        </w:tc>
        <w:tc>
          <w:tcPr>
            <w:tcW w:w="1395" w:type="dxa"/>
            <w:noWrap/>
            <w:vAlign w:val="center"/>
            <w:hideMark/>
          </w:tcPr>
          <w:p w:rsidR="007C64B4" w:rsidRPr="00061900" w:rsidRDefault="007C64B4" w:rsidP="007C64B4">
            <w:pPr>
              <w:jc w:val="center"/>
              <w:rPr>
                <w:color w:val="000000"/>
                <w:sz w:val="20"/>
                <w:lang w:val="en-GB"/>
              </w:rPr>
            </w:pPr>
            <w:r w:rsidRPr="00061900">
              <w:rPr>
                <w:color w:val="000000"/>
                <w:sz w:val="20"/>
                <w:szCs w:val="22"/>
                <w:lang w:val="en-GB"/>
              </w:rPr>
              <w:t>N/A</w:t>
            </w:r>
          </w:p>
        </w:tc>
        <w:tc>
          <w:tcPr>
            <w:tcW w:w="3110" w:type="dxa"/>
            <w:gridSpan w:val="3"/>
            <w:noWrap/>
            <w:hideMark/>
          </w:tcPr>
          <w:p w:rsidR="007C64B4" w:rsidRPr="008424C7" w:rsidRDefault="007C64B4" w:rsidP="007C64B4">
            <w:pPr>
              <w:jc w:val="center"/>
              <w:rPr>
                <w:color w:val="000000"/>
                <w:sz w:val="22"/>
                <w:lang w:val="en-GB"/>
              </w:rPr>
            </w:pPr>
            <w:r w:rsidRPr="00851E21">
              <w:rPr>
                <w:b/>
                <w:color w:val="000000"/>
                <w:sz w:val="22"/>
                <w:szCs w:val="22"/>
                <w:lang w:val="en-GB"/>
              </w:rPr>
              <w:t>×</w:t>
            </w:r>
          </w:p>
        </w:tc>
        <w:tc>
          <w:tcPr>
            <w:tcW w:w="2338" w:type="dxa"/>
            <w:noWrap/>
            <w:hideMark/>
          </w:tcPr>
          <w:p w:rsidR="007C64B4" w:rsidRPr="008424C7" w:rsidRDefault="007C64B4" w:rsidP="007C64B4">
            <w:pPr>
              <w:jc w:val="center"/>
              <w:rPr>
                <w:color w:val="000000"/>
                <w:lang w:val="en-GB"/>
              </w:rPr>
            </w:pPr>
            <w:r w:rsidRPr="00851E21">
              <w:rPr>
                <w:b/>
                <w:color w:val="000000"/>
                <w:sz w:val="22"/>
                <w:szCs w:val="22"/>
                <w:lang w:val="en-GB"/>
              </w:rPr>
              <w:t>×</w:t>
            </w:r>
          </w:p>
        </w:tc>
      </w:tr>
      <w:tr w:rsidR="002D24CC" w:rsidRPr="00282239" w:rsidTr="002D24CC">
        <w:trPr>
          <w:trHeight w:val="536"/>
        </w:trPr>
        <w:tc>
          <w:tcPr>
            <w:tcW w:w="1162" w:type="dxa"/>
            <w:noWrap/>
            <w:hideMark/>
          </w:tcPr>
          <w:p w:rsidR="007C64B4" w:rsidRPr="00B92FA1" w:rsidRDefault="007C64B4" w:rsidP="007C64B4">
            <w:pPr>
              <w:rPr>
                <w:color w:val="000000"/>
                <w:lang w:val="en-GB"/>
              </w:rPr>
            </w:pPr>
            <w:r w:rsidRPr="00B92FA1">
              <w:rPr>
                <w:color w:val="000000"/>
                <w:sz w:val="22"/>
                <w:szCs w:val="22"/>
                <w:lang w:val="en-GB"/>
              </w:rPr>
              <w:t>Bulgaria</w:t>
            </w:r>
          </w:p>
        </w:tc>
        <w:tc>
          <w:tcPr>
            <w:tcW w:w="1752" w:type="dxa"/>
            <w:vAlign w:val="center"/>
          </w:tcPr>
          <w:p w:rsidR="007C64B4" w:rsidRPr="00B92FA1" w:rsidRDefault="007C64B4" w:rsidP="007C64B4">
            <w:pPr>
              <w:jc w:val="center"/>
              <w:rPr>
                <w:color w:val="000000"/>
                <w:lang w:val="en-GB"/>
              </w:rPr>
            </w:pPr>
            <w:r w:rsidRPr="00D00DD1">
              <w:rPr>
                <w:color w:val="000000"/>
                <w:sz w:val="22"/>
                <w:szCs w:val="22"/>
                <w:lang w:val="en-GB"/>
              </w:rPr>
              <w:sym w:font="Wingdings" w:char="F0FC"/>
            </w:r>
          </w:p>
        </w:tc>
        <w:tc>
          <w:tcPr>
            <w:tcW w:w="1395" w:type="dxa"/>
            <w:noWrap/>
            <w:vAlign w:val="center"/>
            <w:hideMark/>
          </w:tcPr>
          <w:p w:rsidR="007C64B4" w:rsidRPr="00B92FA1" w:rsidRDefault="007C64B4" w:rsidP="007C64B4">
            <w:pPr>
              <w:jc w:val="center"/>
              <w:rPr>
                <w:color w:val="000000"/>
                <w:lang w:val="en-GB"/>
              </w:rPr>
            </w:pPr>
            <w:r w:rsidRPr="00D00DD1">
              <w:rPr>
                <w:color w:val="000000"/>
                <w:sz w:val="22"/>
                <w:szCs w:val="22"/>
                <w:lang w:val="en-GB"/>
              </w:rPr>
              <w:sym w:font="Wingdings" w:char="F0FC"/>
            </w:r>
          </w:p>
        </w:tc>
        <w:tc>
          <w:tcPr>
            <w:tcW w:w="1263" w:type="dxa"/>
            <w:noWrap/>
            <w:vAlign w:val="center"/>
            <w:hideMark/>
          </w:tcPr>
          <w:p w:rsidR="007C64B4" w:rsidRPr="008424C7" w:rsidRDefault="007C64B4" w:rsidP="007C64B4">
            <w:pPr>
              <w:jc w:val="center"/>
              <w:rPr>
                <w:color w:val="000000"/>
                <w:sz w:val="22"/>
                <w:lang w:val="en-GB"/>
              </w:rPr>
            </w:pPr>
            <w:r w:rsidRPr="00D00DD1">
              <w:rPr>
                <w:color w:val="000000"/>
                <w:sz w:val="22"/>
                <w:szCs w:val="22"/>
                <w:lang w:val="en-GB"/>
              </w:rPr>
              <w:sym w:font="Wingdings" w:char="F0FC"/>
            </w:r>
          </w:p>
        </w:tc>
        <w:tc>
          <w:tcPr>
            <w:tcW w:w="951" w:type="dxa"/>
            <w:vAlign w:val="center"/>
          </w:tcPr>
          <w:p w:rsidR="007C64B4" w:rsidRPr="006051F7" w:rsidRDefault="007C64B4" w:rsidP="007C64B4">
            <w:pPr>
              <w:jc w:val="center"/>
              <w:rPr>
                <w:color w:val="000000"/>
                <w:sz w:val="22"/>
                <w:lang w:val="en-GB"/>
              </w:rPr>
            </w:pPr>
            <w:r w:rsidRPr="0089794B">
              <w:rPr>
                <w:color w:val="000000"/>
                <w:sz w:val="22"/>
                <w:szCs w:val="22"/>
                <w:lang w:val="en-GB"/>
              </w:rPr>
              <w:sym w:font="Wingdings" w:char="F0FC"/>
            </w:r>
          </w:p>
        </w:tc>
        <w:tc>
          <w:tcPr>
            <w:tcW w:w="896" w:type="dxa"/>
            <w:vAlign w:val="center"/>
          </w:tcPr>
          <w:p w:rsidR="007C64B4" w:rsidRPr="00D00DD1" w:rsidRDefault="007C64B4" w:rsidP="007C64B4">
            <w:pPr>
              <w:jc w:val="center"/>
              <w:rPr>
                <w:color w:val="000000"/>
                <w:sz w:val="22"/>
                <w:szCs w:val="22"/>
                <w:lang w:val="en-GB"/>
              </w:rPr>
            </w:pPr>
            <w:r w:rsidRPr="00D00DD1">
              <w:rPr>
                <w:color w:val="000000"/>
                <w:sz w:val="22"/>
                <w:szCs w:val="22"/>
                <w:lang w:val="en-GB"/>
              </w:rPr>
              <w:sym w:font="Wingdings" w:char="F0FC"/>
            </w:r>
          </w:p>
        </w:tc>
        <w:tc>
          <w:tcPr>
            <w:tcW w:w="2338" w:type="dxa"/>
            <w:noWrap/>
            <w:vAlign w:val="center"/>
            <w:hideMark/>
          </w:tcPr>
          <w:p w:rsidR="007C64B4" w:rsidRPr="00061900" w:rsidDel="00AA24C9" w:rsidRDefault="007C64B4" w:rsidP="007C64B4">
            <w:pPr>
              <w:jc w:val="center"/>
              <w:rPr>
                <w:color w:val="000000"/>
                <w:sz w:val="18"/>
                <w:szCs w:val="20"/>
                <w:lang w:val="en-GB"/>
              </w:rPr>
            </w:pPr>
            <w:r w:rsidRPr="00282239">
              <w:rPr>
                <w:color w:val="000000"/>
                <w:sz w:val="18"/>
                <w:szCs w:val="20"/>
                <w:lang w:val="en-GB"/>
              </w:rPr>
              <w:t>Article</w:t>
            </w:r>
            <w:r w:rsidRPr="00061900">
              <w:rPr>
                <w:color w:val="000000"/>
                <w:sz w:val="18"/>
                <w:szCs w:val="20"/>
                <w:lang w:val="en-GB"/>
              </w:rPr>
              <w:t xml:space="preserve"> 7, paragraph 1, point 11 from the Railway Transport Act</w:t>
            </w:r>
          </w:p>
        </w:tc>
      </w:tr>
      <w:tr w:rsidR="002D24CC" w:rsidRPr="00B92FA1" w:rsidTr="002D24CC">
        <w:trPr>
          <w:trHeight w:val="277"/>
        </w:trPr>
        <w:tc>
          <w:tcPr>
            <w:tcW w:w="1162" w:type="dxa"/>
            <w:noWrap/>
            <w:hideMark/>
          </w:tcPr>
          <w:p w:rsidR="007C64B4" w:rsidRPr="00B92FA1" w:rsidRDefault="007C64B4" w:rsidP="007C64B4">
            <w:pPr>
              <w:rPr>
                <w:color w:val="000000"/>
                <w:lang w:val="en-GB"/>
              </w:rPr>
            </w:pPr>
            <w:r w:rsidRPr="00B92FA1">
              <w:rPr>
                <w:color w:val="000000"/>
                <w:sz w:val="22"/>
                <w:szCs w:val="22"/>
                <w:lang w:val="en-GB"/>
              </w:rPr>
              <w:t>Croatia</w:t>
            </w:r>
          </w:p>
        </w:tc>
        <w:tc>
          <w:tcPr>
            <w:tcW w:w="1752" w:type="dxa"/>
            <w:vAlign w:val="center"/>
          </w:tcPr>
          <w:p w:rsidR="007C64B4" w:rsidRPr="00B92FA1" w:rsidRDefault="007C64B4" w:rsidP="007C64B4">
            <w:pPr>
              <w:jc w:val="center"/>
              <w:rPr>
                <w:color w:val="000000"/>
                <w:lang w:val="en-GB"/>
              </w:rPr>
            </w:pPr>
            <w:r w:rsidRPr="00B92FA1">
              <w:rPr>
                <w:b/>
                <w:color w:val="000000"/>
                <w:sz w:val="22"/>
                <w:szCs w:val="22"/>
                <w:lang w:val="en-GB"/>
              </w:rPr>
              <w:t>×</w:t>
            </w:r>
          </w:p>
        </w:tc>
        <w:tc>
          <w:tcPr>
            <w:tcW w:w="1395" w:type="dxa"/>
            <w:noWrap/>
            <w:vAlign w:val="center"/>
            <w:hideMark/>
          </w:tcPr>
          <w:p w:rsidR="007C64B4" w:rsidRPr="00061900" w:rsidRDefault="007C64B4" w:rsidP="007C64B4">
            <w:pPr>
              <w:jc w:val="center"/>
              <w:rPr>
                <w:color w:val="000000"/>
                <w:sz w:val="20"/>
                <w:lang w:val="en-GB"/>
              </w:rPr>
            </w:pPr>
            <w:r w:rsidRPr="00061900">
              <w:rPr>
                <w:color w:val="000000"/>
                <w:sz w:val="20"/>
                <w:szCs w:val="22"/>
                <w:lang w:val="en-GB"/>
              </w:rPr>
              <w:t>N/A</w:t>
            </w:r>
          </w:p>
        </w:tc>
        <w:tc>
          <w:tcPr>
            <w:tcW w:w="1263" w:type="dxa"/>
            <w:noWrap/>
            <w:vAlign w:val="center"/>
            <w:hideMark/>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951" w:type="dxa"/>
            <w:vAlign w:val="center"/>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896" w:type="dxa"/>
            <w:vAlign w:val="center"/>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2338" w:type="dxa"/>
            <w:noWrap/>
            <w:vAlign w:val="center"/>
            <w:hideMark/>
          </w:tcPr>
          <w:p w:rsidR="007C64B4" w:rsidRPr="00061900" w:rsidRDefault="007C64B4" w:rsidP="007C64B4">
            <w:pPr>
              <w:jc w:val="center"/>
              <w:rPr>
                <w:color w:val="000000"/>
                <w:sz w:val="18"/>
                <w:szCs w:val="20"/>
                <w:lang w:val="en-GB"/>
              </w:rPr>
            </w:pPr>
          </w:p>
        </w:tc>
      </w:tr>
      <w:tr w:rsidR="002D24CC" w:rsidRPr="00282239" w:rsidTr="002D24CC">
        <w:trPr>
          <w:trHeight w:val="267"/>
        </w:trPr>
        <w:tc>
          <w:tcPr>
            <w:tcW w:w="1162" w:type="dxa"/>
            <w:noWrap/>
            <w:hideMark/>
          </w:tcPr>
          <w:p w:rsidR="007C64B4" w:rsidRPr="00B92FA1" w:rsidRDefault="007C64B4" w:rsidP="007C64B4">
            <w:pPr>
              <w:rPr>
                <w:color w:val="000000"/>
                <w:lang w:val="en-GB"/>
              </w:rPr>
            </w:pPr>
            <w:r w:rsidRPr="00B92FA1">
              <w:rPr>
                <w:color w:val="000000"/>
                <w:sz w:val="22"/>
                <w:szCs w:val="22"/>
                <w:lang w:val="en-GB"/>
              </w:rPr>
              <w:t>Finland</w:t>
            </w:r>
          </w:p>
        </w:tc>
        <w:tc>
          <w:tcPr>
            <w:tcW w:w="1752" w:type="dxa"/>
            <w:vAlign w:val="center"/>
          </w:tcPr>
          <w:p w:rsidR="007C64B4" w:rsidRPr="00B92FA1" w:rsidRDefault="007C64B4" w:rsidP="007C64B4">
            <w:pPr>
              <w:jc w:val="center"/>
              <w:rPr>
                <w:color w:val="000000"/>
                <w:lang w:val="en-GB"/>
              </w:rPr>
            </w:pPr>
            <w:r w:rsidRPr="00B92FA1">
              <w:rPr>
                <w:b/>
                <w:color w:val="000000"/>
                <w:sz w:val="22"/>
                <w:szCs w:val="22"/>
                <w:lang w:val="en-GB"/>
              </w:rPr>
              <w:t>×</w:t>
            </w:r>
          </w:p>
        </w:tc>
        <w:tc>
          <w:tcPr>
            <w:tcW w:w="1395" w:type="dxa"/>
            <w:noWrap/>
            <w:vAlign w:val="center"/>
            <w:hideMark/>
          </w:tcPr>
          <w:p w:rsidR="007C64B4" w:rsidRPr="00061900" w:rsidRDefault="007C64B4" w:rsidP="007C64B4">
            <w:pPr>
              <w:jc w:val="center"/>
              <w:rPr>
                <w:color w:val="000000"/>
                <w:sz w:val="20"/>
                <w:lang w:val="en-GB"/>
              </w:rPr>
            </w:pPr>
            <w:r w:rsidRPr="00061900">
              <w:rPr>
                <w:color w:val="000000"/>
                <w:sz w:val="20"/>
                <w:szCs w:val="22"/>
                <w:lang w:val="en-GB"/>
              </w:rPr>
              <w:t>N/A</w:t>
            </w:r>
          </w:p>
        </w:tc>
        <w:tc>
          <w:tcPr>
            <w:tcW w:w="1263" w:type="dxa"/>
            <w:noWrap/>
            <w:vAlign w:val="center"/>
            <w:hideMark/>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951"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r>
              <w:rPr>
                <w:rStyle w:val="Appelnotedebasdep"/>
                <w:color w:val="000000"/>
                <w:sz w:val="22"/>
                <w:szCs w:val="22"/>
                <w:lang w:val="en-GB"/>
              </w:rPr>
              <w:footnoteReference w:id="11"/>
            </w:r>
          </w:p>
        </w:tc>
        <w:tc>
          <w:tcPr>
            <w:tcW w:w="896"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2338" w:type="dxa"/>
            <w:noWrap/>
            <w:vAlign w:val="center"/>
            <w:hideMark/>
          </w:tcPr>
          <w:p w:rsidR="007C64B4" w:rsidRPr="00061900" w:rsidRDefault="007C64B4" w:rsidP="007C64B4">
            <w:pPr>
              <w:jc w:val="center"/>
              <w:rPr>
                <w:color w:val="000000"/>
                <w:sz w:val="18"/>
                <w:szCs w:val="20"/>
                <w:lang w:val="en-GB"/>
              </w:rPr>
            </w:pPr>
            <w:r w:rsidRPr="00061900">
              <w:rPr>
                <w:color w:val="000000"/>
                <w:sz w:val="18"/>
                <w:szCs w:val="20"/>
                <w:lang w:val="en-GB"/>
              </w:rPr>
              <w:t>General legislation applied to authorities</w:t>
            </w:r>
          </w:p>
        </w:tc>
      </w:tr>
      <w:tr w:rsidR="002D24CC" w:rsidRPr="00282239" w:rsidTr="002D24CC">
        <w:trPr>
          <w:trHeight w:val="299"/>
        </w:trPr>
        <w:tc>
          <w:tcPr>
            <w:tcW w:w="1162" w:type="dxa"/>
            <w:noWrap/>
            <w:hideMark/>
          </w:tcPr>
          <w:p w:rsidR="007C64B4" w:rsidRPr="00B92FA1" w:rsidRDefault="007C64B4" w:rsidP="007C64B4">
            <w:pPr>
              <w:rPr>
                <w:color w:val="000000"/>
                <w:lang w:val="en-GB"/>
              </w:rPr>
            </w:pPr>
            <w:r w:rsidRPr="00B92FA1">
              <w:rPr>
                <w:color w:val="000000"/>
                <w:sz w:val="22"/>
                <w:szCs w:val="22"/>
                <w:lang w:val="en-GB"/>
              </w:rPr>
              <w:t>France</w:t>
            </w:r>
          </w:p>
        </w:tc>
        <w:tc>
          <w:tcPr>
            <w:tcW w:w="1752" w:type="dxa"/>
            <w:vAlign w:val="center"/>
          </w:tcPr>
          <w:p w:rsidR="007C64B4" w:rsidRPr="00B92FA1" w:rsidRDefault="007C64B4" w:rsidP="007C64B4">
            <w:pPr>
              <w:jc w:val="center"/>
              <w:rPr>
                <w:color w:val="000000"/>
                <w:lang w:val="en-GB"/>
              </w:rPr>
            </w:pPr>
            <w:r w:rsidRPr="00B92FA1">
              <w:rPr>
                <w:color w:val="000000"/>
                <w:sz w:val="22"/>
                <w:szCs w:val="22"/>
                <w:lang w:val="en-GB"/>
              </w:rPr>
              <w:sym w:font="Wingdings" w:char="F0FC"/>
            </w:r>
          </w:p>
        </w:tc>
        <w:tc>
          <w:tcPr>
            <w:tcW w:w="1395" w:type="dxa"/>
            <w:noWrap/>
            <w:vAlign w:val="center"/>
            <w:hideMark/>
          </w:tcPr>
          <w:p w:rsidR="007C64B4" w:rsidRPr="00B92FA1" w:rsidRDefault="007C64B4" w:rsidP="007C64B4">
            <w:pPr>
              <w:jc w:val="center"/>
              <w:rPr>
                <w:color w:val="000000"/>
                <w:lang w:val="en-GB"/>
              </w:rPr>
            </w:pPr>
            <w:r w:rsidRPr="00B92FA1">
              <w:rPr>
                <w:b/>
                <w:color w:val="000000"/>
                <w:sz w:val="22"/>
                <w:szCs w:val="22"/>
                <w:lang w:val="en-GB"/>
              </w:rPr>
              <w:t>×</w:t>
            </w:r>
          </w:p>
        </w:tc>
        <w:tc>
          <w:tcPr>
            <w:tcW w:w="1263" w:type="dxa"/>
            <w:noWrap/>
            <w:vAlign w:val="center"/>
            <w:hideMark/>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951"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896"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2338" w:type="dxa"/>
            <w:noWrap/>
            <w:vAlign w:val="center"/>
            <w:hideMark/>
          </w:tcPr>
          <w:p w:rsidR="007C64B4" w:rsidRPr="00061900" w:rsidRDefault="007C64B4" w:rsidP="002D24CC">
            <w:pPr>
              <w:jc w:val="center"/>
              <w:rPr>
                <w:color w:val="000000"/>
                <w:sz w:val="18"/>
                <w:szCs w:val="20"/>
                <w:lang w:val="en-GB"/>
              </w:rPr>
            </w:pPr>
            <w:r w:rsidRPr="00061900">
              <w:rPr>
                <w:color w:val="000000"/>
                <w:sz w:val="18"/>
                <w:szCs w:val="20"/>
                <w:lang w:val="en-GB"/>
              </w:rPr>
              <w:t xml:space="preserve">Railway reform law, </w:t>
            </w:r>
            <w:r w:rsidR="003A1B34">
              <w:rPr>
                <w:color w:val="000000"/>
                <w:sz w:val="18"/>
                <w:szCs w:val="20"/>
                <w:lang w:val="en-GB"/>
              </w:rPr>
              <w:t>A</w:t>
            </w:r>
            <w:r w:rsidRPr="00061900">
              <w:rPr>
                <w:color w:val="000000"/>
                <w:sz w:val="18"/>
                <w:szCs w:val="20"/>
                <w:lang w:val="en-GB"/>
              </w:rPr>
              <w:t>rt</w:t>
            </w:r>
            <w:r w:rsidR="002D24CC">
              <w:rPr>
                <w:color w:val="000000"/>
                <w:sz w:val="18"/>
                <w:szCs w:val="20"/>
                <w:lang w:val="en-GB"/>
              </w:rPr>
              <w:t>.</w:t>
            </w:r>
            <w:r w:rsidRPr="00061900">
              <w:rPr>
                <w:color w:val="000000"/>
                <w:sz w:val="18"/>
                <w:szCs w:val="20"/>
                <w:lang w:val="en-GB"/>
              </w:rPr>
              <w:t xml:space="preserve"> 2133-5 of the Transport Code.</w:t>
            </w:r>
          </w:p>
        </w:tc>
      </w:tr>
      <w:tr w:rsidR="002D24CC" w:rsidRPr="00B92FA1" w:rsidTr="002D24CC">
        <w:trPr>
          <w:trHeight w:val="299"/>
        </w:trPr>
        <w:tc>
          <w:tcPr>
            <w:tcW w:w="1162" w:type="dxa"/>
            <w:noWrap/>
            <w:hideMark/>
          </w:tcPr>
          <w:p w:rsidR="007C64B4" w:rsidRPr="00B92FA1" w:rsidRDefault="007C64B4" w:rsidP="007C64B4">
            <w:pPr>
              <w:rPr>
                <w:color w:val="000000"/>
                <w:lang w:val="en-GB"/>
              </w:rPr>
            </w:pPr>
            <w:r w:rsidRPr="00B92FA1">
              <w:rPr>
                <w:color w:val="000000"/>
                <w:sz w:val="22"/>
                <w:szCs w:val="22"/>
                <w:lang w:val="en-GB"/>
              </w:rPr>
              <w:t>Germany</w:t>
            </w:r>
          </w:p>
        </w:tc>
        <w:tc>
          <w:tcPr>
            <w:tcW w:w="1752" w:type="dxa"/>
            <w:vAlign w:val="center"/>
          </w:tcPr>
          <w:p w:rsidR="007C64B4" w:rsidRPr="00B92FA1" w:rsidRDefault="007C64B4" w:rsidP="007C64B4">
            <w:pPr>
              <w:jc w:val="center"/>
              <w:rPr>
                <w:color w:val="000000"/>
                <w:lang w:val="en-GB"/>
              </w:rPr>
            </w:pPr>
            <w:r w:rsidRPr="00B92FA1">
              <w:rPr>
                <w:b/>
                <w:color w:val="000000"/>
                <w:sz w:val="22"/>
                <w:szCs w:val="22"/>
                <w:lang w:val="en-GB"/>
              </w:rPr>
              <w:t>×</w:t>
            </w:r>
          </w:p>
        </w:tc>
        <w:tc>
          <w:tcPr>
            <w:tcW w:w="1395" w:type="dxa"/>
            <w:noWrap/>
            <w:vAlign w:val="center"/>
            <w:hideMark/>
          </w:tcPr>
          <w:p w:rsidR="007C64B4" w:rsidRPr="00061900" w:rsidRDefault="007C64B4" w:rsidP="007C64B4">
            <w:pPr>
              <w:jc w:val="center"/>
              <w:rPr>
                <w:color w:val="000000"/>
                <w:sz w:val="20"/>
                <w:lang w:val="en-GB"/>
              </w:rPr>
            </w:pPr>
            <w:r w:rsidRPr="00061900">
              <w:rPr>
                <w:color w:val="000000"/>
                <w:sz w:val="20"/>
                <w:szCs w:val="22"/>
                <w:lang w:val="en-GB"/>
              </w:rPr>
              <w:t>N/A</w:t>
            </w:r>
          </w:p>
        </w:tc>
        <w:tc>
          <w:tcPr>
            <w:tcW w:w="1263" w:type="dxa"/>
            <w:noWrap/>
            <w:vAlign w:val="center"/>
            <w:hideMark/>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951"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896"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2338" w:type="dxa"/>
            <w:noWrap/>
            <w:vAlign w:val="center"/>
            <w:hideMark/>
          </w:tcPr>
          <w:p w:rsidR="007C64B4" w:rsidRPr="00061900" w:rsidRDefault="007C64B4" w:rsidP="007C64B4">
            <w:pPr>
              <w:jc w:val="center"/>
              <w:rPr>
                <w:color w:val="000000"/>
                <w:sz w:val="18"/>
                <w:szCs w:val="20"/>
                <w:lang w:val="en-GB"/>
              </w:rPr>
            </w:pPr>
            <w:r w:rsidRPr="00061900">
              <w:rPr>
                <w:color w:val="000000"/>
                <w:sz w:val="18"/>
                <w:szCs w:val="20"/>
                <w:lang w:val="en-GB"/>
              </w:rPr>
              <w:t>§§ 72(5), 73 (1-3); 66 (4); § 68(3) and § 67(1)</w:t>
            </w:r>
            <w:proofErr w:type="spellStart"/>
            <w:r w:rsidRPr="00061900">
              <w:rPr>
                <w:color w:val="000000"/>
                <w:sz w:val="18"/>
                <w:szCs w:val="20"/>
                <w:lang w:val="en-GB"/>
              </w:rPr>
              <w:t>ERegG</w:t>
            </w:r>
            <w:proofErr w:type="spellEnd"/>
            <w:r w:rsidRPr="00061900">
              <w:rPr>
                <w:rStyle w:val="Appelnotedebasdep"/>
                <w:color w:val="000000"/>
                <w:sz w:val="18"/>
                <w:szCs w:val="20"/>
                <w:lang w:val="en-GB"/>
              </w:rPr>
              <w:footnoteReference w:id="12"/>
            </w:r>
          </w:p>
        </w:tc>
      </w:tr>
      <w:tr w:rsidR="007C64B4" w:rsidRPr="00B92FA1" w:rsidTr="002D24CC">
        <w:trPr>
          <w:trHeight w:val="237"/>
        </w:trPr>
        <w:tc>
          <w:tcPr>
            <w:tcW w:w="1162" w:type="dxa"/>
            <w:noWrap/>
            <w:hideMark/>
          </w:tcPr>
          <w:p w:rsidR="007C64B4" w:rsidRPr="00B92FA1" w:rsidRDefault="007C64B4" w:rsidP="007C64B4">
            <w:pPr>
              <w:rPr>
                <w:color w:val="000000"/>
                <w:lang w:val="en-GB"/>
              </w:rPr>
            </w:pPr>
            <w:r w:rsidRPr="00B92FA1">
              <w:rPr>
                <w:color w:val="000000"/>
                <w:sz w:val="22"/>
                <w:szCs w:val="22"/>
                <w:lang w:val="en-GB"/>
              </w:rPr>
              <w:t>Greece</w:t>
            </w:r>
          </w:p>
        </w:tc>
        <w:tc>
          <w:tcPr>
            <w:tcW w:w="1752" w:type="dxa"/>
            <w:vAlign w:val="center"/>
          </w:tcPr>
          <w:p w:rsidR="007C64B4" w:rsidRPr="00B92FA1" w:rsidRDefault="007C64B4" w:rsidP="007C64B4">
            <w:pPr>
              <w:jc w:val="center"/>
              <w:rPr>
                <w:color w:val="000000"/>
                <w:lang w:val="en-GB"/>
              </w:rPr>
            </w:pPr>
            <w:r w:rsidRPr="00B92FA1">
              <w:rPr>
                <w:b/>
                <w:color w:val="000000"/>
                <w:sz w:val="22"/>
                <w:szCs w:val="22"/>
                <w:lang w:val="en-GB"/>
              </w:rPr>
              <w:t>×</w:t>
            </w:r>
          </w:p>
        </w:tc>
        <w:tc>
          <w:tcPr>
            <w:tcW w:w="1395" w:type="dxa"/>
            <w:noWrap/>
            <w:vAlign w:val="center"/>
            <w:hideMark/>
          </w:tcPr>
          <w:p w:rsidR="007C64B4" w:rsidRPr="00061900" w:rsidRDefault="007C64B4" w:rsidP="007C64B4">
            <w:pPr>
              <w:jc w:val="center"/>
              <w:rPr>
                <w:color w:val="000000"/>
                <w:sz w:val="20"/>
                <w:lang w:val="en-GB"/>
              </w:rPr>
            </w:pPr>
            <w:r w:rsidRPr="00061900">
              <w:rPr>
                <w:color w:val="000000"/>
                <w:sz w:val="20"/>
                <w:szCs w:val="22"/>
                <w:lang w:val="en-GB"/>
              </w:rPr>
              <w:t>N/A</w:t>
            </w:r>
          </w:p>
        </w:tc>
        <w:tc>
          <w:tcPr>
            <w:tcW w:w="3110" w:type="dxa"/>
            <w:gridSpan w:val="3"/>
            <w:noWrap/>
            <w:vAlign w:val="center"/>
            <w:hideMark/>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2338" w:type="dxa"/>
            <w:noWrap/>
            <w:vAlign w:val="center"/>
            <w:hideMark/>
          </w:tcPr>
          <w:p w:rsidR="007C64B4" w:rsidRPr="00061900" w:rsidRDefault="007C64B4" w:rsidP="007C64B4">
            <w:pPr>
              <w:jc w:val="center"/>
              <w:rPr>
                <w:color w:val="000000"/>
                <w:sz w:val="18"/>
                <w:szCs w:val="20"/>
                <w:lang w:val="en-GB"/>
              </w:rPr>
            </w:pPr>
          </w:p>
        </w:tc>
      </w:tr>
      <w:tr w:rsidR="002D24CC" w:rsidRPr="00B92FA1" w:rsidTr="002D24CC">
        <w:trPr>
          <w:trHeight w:val="349"/>
        </w:trPr>
        <w:tc>
          <w:tcPr>
            <w:tcW w:w="1162" w:type="dxa"/>
            <w:noWrap/>
            <w:hideMark/>
          </w:tcPr>
          <w:p w:rsidR="007C64B4" w:rsidRPr="00B92FA1" w:rsidRDefault="007C64B4" w:rsidP="007C64B4">
            <w:pPr>
              <w:rPr>
                <w:color w:val="000000"/>
                <w:lang w:val="en-GB"/>
              </w:rPr>
            </w:pPr>
            <w:r w:rsidRPr="00B92FA1">
              <w:rPr>
                <w:color w:val="000000"/>
                <w:sz w:val="22"/>
                <w:szCs w:val="22"/>
                <w:lang w:val="en-GB"/>
              </w:rPr>
              <w:t>Italy</w:t>
            </w:r>
          </w:p>
        </w:tc>
        <w:tc>
          <w:tcPr>
            <w:tcW w:w="1752" w:type="dxa"/>
            <w:vAlign w:val="center"/>
          </w:tcPr>
          <w:p w:rsidR="007C64B4" w:rsidRPr="00B92FA1" w:rsidRDefault="001878D7" w:rsidP="007C64B4">
            <w:pPr>
              <w:jc w:val="center"/>
              <w:rPr>
                <w:color w:val="000000"/>
                <w:lang w:val="en-GB"/>
              </w:rPr>
            </w:pPr>
            <w:r w:rsidRPr="00B92FA1">
              <w:rPr>
                <w:color w:val="000000"/>
                <w:sz w:val="22"/>
                <w:szCs w:val="22"/>
                <w:lang w:val="en-GB"/>
              </w:rPr>
              <w:sym w:font="Wingdings" w:char="F0FC"/>
            </w:r>
            <w:r>
              <w:rPr>
                <w:b/>
                <w:color w:val="000000"/>
                <w:sz w:val="22"/>
                <w:szCs w:val="22"/>
                <w:lang w:val="en-GB"/>
              </w:rPr>
              <w:t xml:space="preserve">, </w:t>
            </w:r>
            <w:r w:rsidRPr="00EB66ED">
              <w:rPr>
                <w:color w:val="000000"/>
                <w:sz w:val="16"/>
                <w:szCs w:val="16"/>
                <w:lang w:val="en-GB"/>
              </w:rPr>
              <w:t xml:space="preserve">if  the </w:t>
            </w:r>
            <w:r>
              <w:rPr>
                <w:color w:val="000000"/>
                <w:sz w:val="16"/>
                <w:szCs w:val="16"/>
                <w:lang w:val="en-GB"/>
              </w:rPr>
              <w:t>SF</w:t>
            </w:r>
            <w:r w:rsidRPr="00EB66ED">
              <w:rPr>
                <w:color w:val="000000"/>
                <w:sz w:val="16"/>
                <w:szCs w:val="16"/>
                <w:lang w:val="en-GB"/>
              </w:rPr>
              <w:t xml:space="preserve"> </w:t>
            </w:r>
            <w:r>
              <w:rPr>
                <w:color w:val="000000"/>
                <w:sz w:val="16"/>
                <w:szCs w:val="16"/>
                <w:lang w:val="en-GB"/>
              </w:rPr>
              <w:t>is operated by</w:t>
            </w:r>
            <w:r w:rsidRPr="00EB66ED">
              <w:rPr>
                <w:color w:val="000000"/>
                <w:sz w:val="16"/>
                <w:szCs w:val="16"/>
                <w:lang w:val="en-GB"/>
              </w:rPr>
              <w:t xml:space="preserve"> the IM</w:t>
            </w:r>
          </w:p>
        </w:tc>
        <w:tc>
          <w:tcPr>
            <w:tcW w:w="1395" w:type="dxa"/>
            <w:noWrap/>
            <w:vAlign w:val="center"/>
            <w:hideMark/>
          </w:tcPr>
          <w:p w:rsidR="007C64B4" w:rsidRPr="00B92FA1" w:rsidRDefault="00786114" w:rsidP="007C64B4">
            <w:pPr>
              <w:jc w:val="center"/>
              <w:rPr>
                <w:color w:val="000000"/>
                <w:lang w:val="en-GB"/>
              </w:rPr>
            </w:pPr>
            <w:r w:rsidRPr="00411B3E">
              <w:rPr>
                <w:b/>
                <w:color w:val="000000"/>
                <w:sz w:val="22"/>
                <w:szCs w:val="22"/>
                <w:lang w:val="en-GB"/>
              </w:rPr>
              <w:t>×</w:t>
            </w:r>
          </w:p>
        </w:tc>
        <w:tc>
          <w:tcPr>
            <w:tcW w:w="1263" w:type="dxa"/>
            <w:noWrap/>
            <w:vAlign w:val="center"/>
            <w:hideMark/>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951" w:type="dxa"/>
            <w:vAlign w:val="center"/>
          </w:tcPr>
          <w:p w:rsidR="007C64B4" w:rsidRPr="008424C7" w:rsidRDefault="00786114" w:rsidP="001878D7">
            <w:pPr>
              <w:jc w:val="center"/>
              <w:rPr>
                <w:color w:val="000000"/>
                <w:sz w:val="22"/>
                <w:lang w:val="en-GB"/>
              </w:rPr>
            </w:pPr>
            <w:r w:rsidRPr="00411B3E">
              <w:rPr>
                <w:color w:val="000000"/>
                <w:sz w:val="22"/>
                <w:szCs w:val="22"/>
                <w:lang w:val="en-GB"/>
              </w:rPr>
              <w:sym w:font="Wingdings" w:char="F0FC"/>
            </w:r>
            <w:r w:rsidR="00212B89">
              <w:rPr>
                <w:rStyle w:val="Appelnotedebasdep"/>
                <w:color w:val="000000"/>
                <w:sz w:val="22"/>
                <w:szCs w:val="22"/>
                <w:lang w:val="en-GB"/>
              </w:rPr>
              <w:footnoteReference w:id="13"/>
            </w:r>
          </w:p>
        </w:tc>
        <w:tc>
          <w:tcPr>
            <w:tcW w:w="896" w:type="dxa"/>
            <w:vAlign w:val="center"/>
          </w:tcPr>
          <w:p w:rsidR="007C64B4" w:rsidRPr="008424C7" w:rsidRDefault="001878D7" w:rsidP="007C64B4">
            <w:pPr>
              <w:jc w:val="center"/>
              <w:rPr>
                <w:color w:val="000000"/>
                <w:sz w:val="22"/>
                <w:lang w:val="en-GB"/>
              </w:rPr>
            </w:pPr>
            <w:r w:rsidRPr="00411B3E">
              <w:rPr>
                <w:color w:val="000000"/>
                <w:sz w:val="22"/>
                <w:szCs w:val="22"/>
                <w:lang w:val="en-GB"/>
              </w:rPr>
              <w:sym w:font="Wingdings" w:char="F0FC"/>
            </w:r>
            <w:r>
              <w:rPr>
                <w:rStyle w:val="Appelnotedebasdep"/>
                <w:color w:val="000000"/>
                <w:sz w:val="22"/>
                <w:szCs w:val="22"/>
                <w:lang w:val="en-GB"/>
              </w:rPr>
              <w:footnoteReference w:id="14"/>
            </w:r>
          </w:p>
        </w:tc>
        <w:tc>
          <w:tcPr>
            <w:tcW w:w="2338" w:type="dxa"/>
            <w:noWrap/>
            <w:vAlign w:val="center"/>
            <w:hideMark/>
          </w:tcPr>
          <w:p w:rsidR="007C64B4" w:rsidRPr="00061900" w:rsidRDefault="001878D7" w:rsidP="007C64B4">
            <w:pPr>
              <w:jc w:val="center"/>
              <w:rPr>
                <w:color w:val="000000"/>
                <w:sz w:val="18"/>
                <w:szCs w:val="20"/>
                <w:lang w:val="en-GB"/>
              </w:rPr>
            </w:pPr>
            <w:r w:rsidRPr="00EB66ED">
              <w:rPr>
                <w:color w:val="000000"/>
                <w:sz w:val="16"/>
                <w:szCs w:val="16"/>
                <w:lang w:val="en-GB"/>
              </w:rPr>
              <w:t>Measure 41, ART Dec 96/2015</w:t>
            </w:r>
          </w:p>
        </w:tc>
      </w:tr>
      <w:tr w:rsidR="002D24CC" w:rsidRPr="00B92FA1" w:rsidTr="002D24CC">
        <w:trPr>
          <w:trHeight w:val="299"/>
        </w:trPr>
        <w:tc>
          <w:tcPr>
            <w:tcW w:w="1162" w:type="dxa"/>
            <w:noWrap/>
            <w:hideMark/>
          </w:tcPr>
          <w:p w:rsidR="007C64B4" w:rsidRPr="00B92FA1" w:rsidRDefault="007C64B4" w:rsidP="007C64B4">
            <w:pPr>
              <w:rPr>
                <w:color w:val="000000"/>
                <w:lang w:val="en-GB"/>
              </w:rPr>
            </w:pPr>
            <w:r w:rsidRPr="00B92FA1">
              <w:rPr>
                <w:color w:val="000000"/>
                <w:sz w:val="22"/>
                <w:szCs w:val="22"/>
                <w:lang w:val="en-GB"/>
              </w:rPr>
              <w:t>Netherlands</w:t>
            </w:r>
          </w:p>
        </w:tc>
        <w:tc>
          <w:tcPr>
            <w:tcW w:w="1752" w:type="dxa"/>
            <w:vAlign w:val="center"/>
          </w:tcPr>
          <w:p w:rsidR="007C64B4" w:rsidRPr="00B92FA1" w:rsidRDefault="007C64B4" w:rsidP="007C64B4">
            <w:pPr>
              <w:jc w:val="center"/>
              <w:rPr>
                <w:color w:val="000000"/>
                <w:lang w:val="en-GB"/>
              </w:rPr>
            </w:pPr>
            <w:r w:rsidRPr="00B92FA1">
              <w:rPr>
                <w:b/>
                <w:color w:val="000000"/>
                <w:sz w:val="22"/>
                <w:szCs w:val="22"/>
                <w:lang w:val="en-GB"/>
              </w:rPr>
              <w:t>×</w:t>
            </w:r>
          </w:p>
        </w:tc>
        <w:tc>
          <w:tcPr>
            <w:tcW w:w="1395" w:type="dxa"/>
            <w:noWrap/>
            <w:vAlign w:val="center"/>
            <w:hideMark/>
          </w:tcPr>
          <w:p w:rsidR="007C64B4" w:rsidRPr="00B92FA1" w:rsidRDefault="007C64B4" w:rsidP="007C64B4">
            <w:pPr>
              <w:jc w:val="center"/>
              <w:rPr>
                <w:color w:val="000000"/>
                <w:lang w:val="en-GB"/>
              </w:rPr>
            </w:pPr>
            <w:r w:rsidRPr="00061900">
              <w:rPr>
                <w:color w:val="000000"/>
                <w:sz w:val="20"/>
                <w:szCs w:val="22"/>
                <w:lang w:val="en-GB"/>
              </w:rPr>
              <w:t>N/A</w:t>
            </w:r>
          </w:p>
        </w:tc>
        <w:tc>
          <w:tcPr>
            <w:tcW w:w="1263" w:type="dxa"/>
            <w:noWrap/>
            <w:vAlign w:val="center"/>
            <w:hideMark/>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951"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896"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2338" w:type="dxa"/>
            <w:noWrap/>
            <w:vAlign w:val="center"/>
            <w:hideMark/>
          </w:tcPr>
          <w:p w:rsidR="007C64B4" w:rsidRPr="00061900" w:rsidRDefault="007C64B4" w:rsidP="007C64B4">
            <w:pPr>
              <w:jc w:val="center"/>
              <w:rPr>
                <w:color w:val="000000"/>
                <w:sz w:val="18"/>
                <w:szCs w:val="20"/>
                <w:lang w:val="en-GB"/>
              </w:rPr>
            </w:pPr>
          </w:p>
        </w:tc>
      </w:tr>
      <w:tr w:rsidR="002D24CC" w:rsidRPr="00B92FA1" w:rsidTr="002D24CC">
        <w:trPr>
          <w:trHeight w:val="227"/>
        </w:trPr>
        <w:tc>
          <w:tcPr>
            <w:tcW w:w="1162" w:type="dxa"/>
            <w:noWrap/>
            <w:hideMark/>
          </w:tcPr>
          <w:p w:rsidR="007C64B4" w:rsidRPr="00B92FA1" w:rsidRDefault="007C64B4" w:rsidP="007C64B4">
            <w:pPr>
              <w:rPr>
                <w:color w:val="000000"/>
                <w:lang w:val="en-GB"/>
              </w:rPr>
            </w:pPr>
            <w:r w:rsidRPr="00B92FA1">
              <w:rPr>
                <w:color w:val="000000"/>
                <w:sz w:val="22"/>
                <w:szCs w:val="22"/>
                <w:lang w:val="en-GB"/>
              </w:rPr>
              <w:t>Norway</w:t>
            </w:r>
          </w:p>
        </w:tc>
        <w:tc>
          <w:tcPr>
            <w:tcW w:w="1752" w:type="dxa"/>
            <w:vAlign w:val="center"/>
          </w:tcPr>
          <w:p w:rsidR="007C64B4" w:rsidRPr="00B92FA1" w:rsidRDefault="007C64B4" w:rsidP="007C64B4">
            <w:pPr>
              <w:jc w:val="center"/>
              <w:rPr>
                <w:color w:val="000000"/>
                <w:lang w:val="en-GB"/>
              </w:rPr>
            </w:pPr>
            <w:r w:rsidRPr="00B92FA1">
              <w:rPr>
                <w:color w:val="000000"/>
                <w:sz w:val="22"/>
                <w:szCs w:val="22"/>
                <w:lang w:val="en-GB"/>
              </w:rPr>
              <w:sym w:font="Wingdings" w:char="F0FC"/>
            </w:r>
          </w:p>
        </w:tc>
        <w:tc>
          <w:tcPr>
            <w:tcW w:w="1395" w:type="dxa"/>
            <w:noWrap/>
            <w:vAlign w:val="center"/>
            <w:hideMark/>
          </w:tcPr>
          <w:p w:rsidR="007C64B4" w:rsidRPr="00B92FA1" w:rsidRDefault="007C64B4" w:rsidP="007C64B4">
            <w:pPr>
              <w:jc w:val="center"/>
              <w:rPr>
                <w:color w:val="000000"/>
                <w:lang w:val="en-GB"/>
              </w:rPr>
            </w:pPr>
            <w:r w:rsidRPr="00B92FA1">
              <w:rPr>
                <w:b/>
                <w:color w:val="000000"/>
                <w:sz w:val="22"/>
                <w:szCs w:val="22"/>
                <w:lang w:val="en-GB"/>
              </w:rPr>
              <w:t>×</w:t>
            </w:r>
          </w:p>
        </w:tc>
        <w:tc>
          <w:tcPr>
            <w:tcW w:w="1263" w:type="dxa"/>
            <w:noWrap/>
            <w:vAlign w:val="center"/>
            <w:hideMark/>
          </w:tcPr>
          <w:p w:rsidR="007C64B4" w:rsidRPr="008424C7" w:rsidRDefault="007C64B4" w:rsidP="007C64B4">
            <w:pPr>
              <w:jc w:val="center"/>
              <w:rPr>
                <w:color w:val="000000"/>
                <w:sz w:val="22"/>
                <w:lang w:val="en-GB"/>
              </w:rPr>
            </w:pPr>
            <w:r w:rsidRPr="00411B3E">
              <w:rPr>
                <w:color w:val="000000"/>
                <w:sz w:val="22"/>
                <w:szCs w:val="22"/>
                <w:lang w:val="en-GB"/>
              </w:rPr>
              <w:sym w:font="Wingdings" w:char="F0FC"/>
            </w:r>
            <w:r w:rsidRPr="00411B3E">
              <w:rPr>
                <w:rStyle w:val="Appelnotedebasdep"/>
                <w:color w:val="000000"/>
                <w:sz w:val="22"/>
                <w:szCs w:val="22"/>
                <w:lang w:val="en-GB"/>
              </w:rPr>
              <w:footnoteReference w:id="15"/>
            </w:r>
          </w:p>
        </w:tc>
        <w:tc>
          <w:tcPr>
            <w:tcW w:w="951" w:type="dxa"/>
            <w:vAlign w:val="center"/>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896"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2338" w:type="dxa"/>
            <w:noWrap/>
            <w:vAlign w:val="center"/>
            <w:hideMark/>
          </w:tcPr>
          <w:p w:rsidR="007C64B4" w:rsidRPr="00061900" w:rsidRDefault="007C64B4" w:rsidP="007C64B4">
            <w:pPr>
              <w:jc w:val="center"/>
              <w:rPr>
                <w:color w:val="000000"/>
                <w:sz w:val="18"/>
                <w:szCs w:val="20"/>
                <w:lang w:val="en-GB"/>
              </w:rPr>
            </w:pPr>
          </w:p>
        </w:tc>
      </w:tr>
      <w:tr w:rsidR="002D24CC" w:rsidRPr="00B92FA1" w:rsidTr="002D24CC">
        <w:trPr>
          <w:trHeight w:val="245"/>
        </w:trPr>
        <w:tc>
          <w:tcPr>
            <w:tcW w:w="1162" w:type="dxa"/>
            <w:noWrap/>
            <w:hideMark/>
          </w:tcPr>
          <w:p w:rsidR="007C64B4" w:rsidRPr="00B92FA1" w:rsidRDefault="007C64B4" w:rsidP="007C64B4">
            <w:pPr>
              <w:rPr>
                <w:color w:val="000000"/>
                <w:lang w:val="en-GB"/>
              </w:rPr>
            </w:pPr>
            <w:r w:rsidRPr="00B92FA1">
              <w:rPr>
                <w:color w:val="000000"/>
                <w:sz w:val="22"/>
                <w:szCs w:val="22"/>
                <w:lang w:val="en-GB"/>
              </w:rPr>
              <w:t>Poland</w:t>
            </w:r>
          </w:p>
        </w:tc>
        <w:tc>
          <w:tcPr>
            <w:tcW w:w="1752" w:type="dxa"/>
            <w:vAlign w:val="center"/>
          </w:tcPr>
          <w:p w:rsidR="007C64B4" w:rsidRPr="00B92FA1" w:rsidRDefault="007C64B4" w:rsidP="007C64B4">
            <w:pPr>
              <w:jc w:val="center"/>
              <w:rPr>
                <w:color w:val="000000"/>
                <w:lang w:val="en-GB"/>
              </w:rPr>
            </w:pPr>
            <w:r w:rsidRPr="00B92FA1">
              <w:rPr>
                <w:b/>
                <w:color w:val="000000"/>
                <w:sz w:val="22"/>
                <w:szCs w:val="22"/>
                <w:lang w:val="en-GB"/>
              </w:rPr>
              <w:t>×</w:t>
            </w:r>
          </w:p>
        </w:tc>
        <w:tc>
          <w:tcPr>
            <w:tcW w:w="1395" w:type="dxa"/>
            <w:noWrap/>
            <w:vAlign w:val="center"/>
            <w:hideMark/>
          </w:tcPr>
          <w:p w:rsidR="007C64B4" w:rsidRPr="00B92FA1" w:rsidRDefault="007C64B4" w:rsidP="007C64B4">
            <w:pPr>
              <w:jc w:val="center"/>
              <w:rPr>
                <w:color w:val="000000"/>
                <w:lang w:val="en-GB"/>
              </w:rPr>
            </w:pPr>
            <w:r w:rsidRPr="00B92FA1">
              <w:rPr>
                <w:b/>
                <w:color w:val="000000"/>
                <w:sz w:val="22"/>
                <w:szCs w:val="22"/>
                <w:lang w:val="en-GB"/>
              </w:rPr>
              <w:t>×</w:t>
            </w:r>
          </w:p>
        </w:tc>
        <w:tc>
          <w:tcPr>
            <w:tcW w:w="1263" w:type="dxa"/>
            <w:noWrap/>
            <w:vAlign w:val="center"/>
            <w:hideMark/>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951" w:type="dxa"/>
            <w:vAlign w:val="center"/>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896"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2338" w:type="dxa"/>
            <w:noWrap/>
            <w:vAlign w:val="center"/>
            <w:hideMark/>
          </w:tcPr>
          <w:p w:rsidR="007C64B4" w:rsidRPr="00061900" w:rsidRDefault="007C64B4" w:rsidP="007C64B4">
            <w:pPr>
              <w:jc w:val="center"/>
              <w:rPr>
                <w:color w:val="000000"/>
                <w:sz w:val="18"/>
                <w:szCs w:val="20"/>
                <w:lang w:val="en-GB"/>
              </w:rPr>
            </w:pPr>
            <w:r w:rsidRPr="00061900">
              <w:rPr>
                <w:color w:val="000000"/>
                <w:sz w:val="18"/>
                <w:szCs w:val="20"/>
                <w:lang w:val="en-GB"/>
              </w:rPr>
              <w:t>N/A</w:t>
            </w:r>
          </w:p>
        </w:tc>
      </w:tr>
      <w:tr w:rsidR="002D24CC" w:rsidRPr="00B92FA1" w:rsidTr="002D24CC">
        <w:trPr>
          <w:trHeight w:val="263"/>
        </w:trPr>
        <w:tc>
          <w:tcPr>
            <w:tcW w:w="1162" w:type="dxa"/>
            <w:noWrap/>
            <w:hideMark/>
          </w:tcPr>
          <w:p w:rsidR="007C64B4" w:rsidRPr="00B92FA1" w:rsidRDefault="007C64B4" w:rsidP="007C64B4">
            <w:pPr>
              <w:rPr>
                <w:color w:val="000000"/>
                <w:lang w:val="en-GB"/>
              </w:rPr>
            </w:pPr>
            <w:r w:rsidRPr="00B92FA1">
              <w:rPr>
                <w:color w:val="000000"/>
                <w:sz w:val="22"/>
                <w:szCs w:val="22"/>
                <w:lang w:val="en-GB"/>
              </w:rPr>
              <w:t>Portugal</w:t>
            </w:r>
          </w:p>
        </w:tc>
        <w:tc>
          <w:tcPr>
            <w:tcW w:w="1752" w:type="dxa"/>
            <w:vAlign w:val="center"/>
          </w:tcPr>
          <w:p w:rsidR="007C64B4" w:rsidRPr="00B92FA1" w:rsidRDefault="007C64B4" w:rsidP="007C64B4">
            <w:pPr>
              <w:jc w:val="center"/>
              <w:rPr>
                <w:color w:val="000000"/>
                <w:lang w:val="en-GB"/>
              </w:rPr>
            </w:pPr>
            <w:r w:rsidRPr="00B92FA1">
              <w:rPr>
                <w:b/>
                <w:color w:val="000000"/>
                <w:sz w:val="22"/>
                <w:szCs w:val="22"/>
                <w:lang w:val="en-GB"/>
              </w:rPr>
              <w:t>×</w:t>
            </w:r>
          </w:p>
        </w:tc>
        <w:tc>
          <w:tcPr>
            <w:tcW w:w="1395" w:type="dxa"/>
            <w:noWrap/>
            <w:vAlign w:val="center"/>
            <w:hideMark/>
          </w:tcPr>
          <w:p w:rsidR="007C64B4" w:rsidRPr="00B92FA1" w:rsidRDefault="007C64B4" w:rsidP="007C64B4">
            <w:pPr>
              <w:jc w:val="center"/>
              <w:rPr>
                <w:color w:val="000000"/>
                <w:lang w:val="en-GB"/>
              </w:rPr>
            </w:pPr>
            <w:r w:rsidRPr="00061900">
              <w:rPr>
                <w:color w:val="000000"/>
                <w:sz w:val="20"/>
                <w:szCs w:val="22"/>
                <w:lang w:val="en-GB"/>
              </w:rPr>
              <w:t>N/A</w:t>
            </w:r>
          </w:p>
        </w:tc>
        <w:tc>
          <w:tcPr>
            <w:tcW w:w="1263" w:type="dxa"/>
            <w:noWrap/>
            <w:vAlign w:val="center"/>
            <w:hideMark/>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951" w:type="dxa"/>
            <w:vAlign w:val="center"/>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896"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2338" w:type="dxa"/>
            <w:noWrap/>
            <w:vAlign w:val="center"/>
            <w:hideMark/>
          </w:tcPr>
          <w:p w:rsidR="007C64B4" w:rsidRPr="00061900" w:rsidRDefault="007C64B4" w:rsidP="007C64B4">
            <w:pPr>
              <w:jc w:val="center"/>
              <w:rPr>
                <w:color w:val="000000"/>
                <w:sz w:val="18"/>
                <w:szCs w:val="20"/>
                <w:lang w:val="en-GB"/>
              </w:rPr>
            </w:pPr>
            <w:r w:rsidRPr="00061900">
              <w:rPr>
                <w:color w:val="000000"/>
                <w:sz w:val="18"/>
                <w:szCs w:val="20"/>
                <w:lang w:val="en-GB"/>
              </w:rPr>
              <w:t>Art. 56 of decree-law 217/2015</w:t>
            </w:r>
          </w:p>
        </w:tc>
      </w:tr>
      <w:tr w:rsidR="002D24CC" w:rsidRPr="00B92FA1" w:rsidTr="002D24CC">
        <w:trPr>
          <w:trHeight w:val="299"/>
        </w:trPr>
        <w:tc>
          <w:tcPr>
            <w:tcW w:w="1162" w:type="dxa"/>
            <w:noWrap/>
          </w:tcPr>
          <w:p w:rsidR="007C64B4" w:rsidRPr="00B92FA1" w:rsidRDefault="007C64B4" w:rsidP="007C64B4">
            <w:pPr>
              <w:rPr>
                <w:color w:val="000000"/>
                <w:lang w:val="en-GB"/>
              </w:rPr>
            </w:pPr>
            <w:r w:rsidRPr="00B92FA1">
              <w:rPr>
                <w:color w:val="000000"/>
                <w:sz w:val="22"/>
                <w:szCs w:val="22"/>
                <w:lang w:val="en-GB"/>
              </w:rPr>
              <w:t>Romania</w:t>
            </w:r>
          </w:p>
        </w:tc>
        <w:tc>
          <w:tcPr>
            <w:tcW w:w="1752" w:type="dxa"/>
            <w:vAlign w:val="center"/>
          </w:tcPr>
          <w:p w:rsidR="007C64B4" w:rsidRPr="00B92FA1" w:rsidRDefault="007C64B4" w:rsidP="007C64B4">
            <w:pPr>
              <w:jc w:val="center"/>
              <w:rPr>
                <w:color w:val="000000"/>
                <w:lang w:val="en-GB"/>
              </w:rPr>
            </w:pPr>
            <w:r w:rsidRPr="00B92FA1">
              <w:rPr>
                <w:color w:val="000000"/>
                <w:sz w:val="22"/>
                <w:szCs w:val="22"/>
                <w:lang w:val="en-GB"/>
              </w:rPr>
              <w:sym w:font="Wingdings" w:char="F0FC"/>
            </w:r>
          </w:p>
        </w:tc>
        <w:tc>
          <w:tcPr>
            <w:tcW w:w="1395" w:type="dxa"/>
            <w:noWrap/>
            <w:vAlign w:val="center"/>
          </w:tcPr>
          <w:p w:rsidR="007C64B4" w:rsidRPr="00B92FA1" w:rsidRDefault="007C64B4" w:rsidP="007C64B4">
            <w:pPr>
              <w:jc w:val="center"/>
              <w:rPr>
                <w:color w:val="000000"/>
                <w:lang w:val="en-GB"/>
              </w:rPr>
            </w:pPr>
            <w:r w:rsidRPr="00B92FA1">
              <w:rPr>
                <w:b/>
                <w:color w:val="000000"/>
                <w:sz w:val="22"/>
                <w:szCs w:val="22"/>
                <w:lang w:val="en-GB"/>
              </w:rPr>
              <w:t>×</w:t>
            </w:r>
          </w:p>
        </w:tc>
        <w:tc>
          <w:tcPr>
            <w:tcW w:w="1263" w:type="dxa"/>
            <w:noWrap/>
            <w:vAlign w:val="center"/>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951" w:type="dxa"/>
            <w:vAlign w:val="center"/>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896"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2338" w:type="dxa"/>
            <w:noWrap/>
            <w:vAlign w:val="center"/>
          </w:tcPr>
          <w:p w:rsidR="007C64B4" w:rsidRPr="00061900" w:rsidRDefault="007C64B4" w:rsidP="007C64B4">
            <w:pPr>
              <w:jc w:val="center"/>
              <w:rPr>
                <w:color w:val="000000"/>
                <w:sz w:val="18"/>
                <w:szCs w:val="20"/>
                <w:lang w:val="en-GB"/>
              </w:rPr>
            </w:pPr>
            <w:r w:rsidRPr="00061900">
              <w:rPr>
                <w:color w:val="000000"/>
                <w:sz w:val="18"/>
                <w:szCs w:val="20"/>
                <w:lang w:val="en-GB"/>
              </w:rPr>
              <w:t>National law 2012/2016</w:t>
            </w:r>
          </w:p>
        </w:tc>
      </w:tr>
      <w:tr w:rsidR="007C64B4" w:rsidRPr="00B92FA1" w:rsidTr="002D24CC">
        <w:trPr>
          <w:trHeight w:val="177"/>
        </w:trPr>
        <w:tc>
          <w:tcPr>
            <w:tcW w:w="1162" w:type="dxa"/>
            <w:noWrap/>
            <w:hideMark/>
          </w:tcPr>
          <w:p w:rsidR="007C64B4" w:rsidRPr="00B92FA1" w:rsidRDefault="007C64B4" w:rsidP="007C64B4">
            <w:pPr>
              <w:rPr>
                <w:color w:val="000000"/>
                <w:lang w:val="en-GB"/>
              </w:rPr>
            </w:pPr>
            <w:r w:rsidRPr="00B92FA1">
              <w:rPr>
                <w:color w:val="000000"/>
                <w:sz w:val="22"/>
                <w:szCs w:val="22"/>
                <w:lang w:val="en-GB"/>
              </w:rPr>
              <w:t>Slovenia</w:t>
            </w:r>
          </w:p>
        </w:tc>
        <w:tc>
          <w:tcPr>
            <w:tcW w:w="1752" w:type="dxa"/>
            <w:vAlign w:val="center"/>
          </w:tcPr>
          <w:p w:rsidR="007C64B4" w:rsidRPr="00B92FA1" w:rsidRDefault="007C64B4" w:rsidP="007C64B4">
            <w:pPr>
              <w:jc w:val="center"/>
              <w:rPr>
                <w:color w:val="000000"/>
                <w:lang w:val="en-GB"/>
              </w:rPr>
            </w:pPr>
            <w:r w:rsidRPr="00B92FA1">
              <w:rPr>
                <w:color w:val="000000"/>
                <w:sz w:val="22"/>
                <w:szCs w:val="22"/>
                <w:lang w:val="en-GB"/>
              </w:rPr>
              <w:sym w:font="Wingdings" w:char="F0FC"/>
            </w:r>
          </w:p>
        </w:tc>
        <w:tc>
          <w:tcPr>
            <w:tcW w:w="1395" w:type="dxa"/>
            <w:noWrap/>
            <w:vAlign w:val="center"/>
            <w:hideMark/>
          </w:tcPr>
          <w:p w:rsidR="007C64B4" w:rsidRPr="00B92FA1" w:rsidRDefault="007C64B4" w:rsidP="007C64B4">
            <w:pPr>
              <w:jc w:val="center"/>
              <w:rPr>
                <w:color w:val="000000"/>
                <w:lang w:val="en-GB"/>
              </w:rPr>
            </w:pPr>
            <w:r w:rsidRPr="00B92FA1">
              <w:rPr>
                <w:b/>
                <w:color w:val="000000"/>
                <w:sz w:val="22"/>
                <w:szCs w:val="22"/>
                <w:lang w:val="en-GB"/>
              </w:rPr>
              <w:t>×</w:t>
            </w:r>
          </w:p>
        </w:tc>
        <w:tc>
          <w:tcPr>
            <w:tcW w:w="3110" w:type="dxa"/>
            <w:gridSpan w:val="3"/>
            <w:noWrap/>
            <w:vAlign w:val="center"/>
            <w:hideMark/>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2338" w:type="dxa"/>
            <w:noWrap/>
            <w:vAlign w:val="center"/>
            <w:hideMark/>
          </w:tcPr>
          <w:p w:rsidR="007C64B4" w:rsidRPr="00061900" w:rsidRDefault="007C64B4" w:rsidP="007C64B4">
            <w:pPr>
              <w:jc w:val="center"/>
              <w:rPr>
                <w:color w:val="000000"/>
                <w:sz w:val="18"/>
                <w:szCs w:val="20"/>
                <w:lang w:val="en-GB"/>
              </w:rPr>
            </w:pPr>
          </w:p>
        </w:tc>
      </w:tr>
      <w:tr w:rsidR="002D24CC" w:rsidRPr="00B92FA1" w:rsidTr="002D24CC">
        <w:trPr>
          <w:trHeight w:val="195"/>
        </w:trPr>
        <w:tc>
          <w:tcPr>
            <w:tcW w:w="1162" w:type="dxa"/>
            <w:noWrap/>
            <w:hideMark/>
          </w:tcPr>
          <w:p w:rsidR="007C64B4" w:rsidRPr="00B92FA1" w:rsidRDefault="007C64B4" w:rsidP="007C64B4">
            <w:pPr>
              <w:rPr>
                <w:color w:val="000000"/>
                <w:lang w:val="en-GB"/>
              </w:rPr>
            </w:pPr>
            <w:r w:rsidRPr="00B92FA1">
              <w:rPr>
                <w:color w:val="000000"/>
                <w:sz w:val="22"/>
                <w:szCs w:val="22"/>
                <w:lang w:val="en-GB"/>
              </w:rPr>
              <w:t>Spain</w:t>
            </w:r>
          </w:p>
        </w:tc>
        <w:tc>
          <w:tcPr>
            <w:tcW w:w="1752" w:type="dxa"/>
            <w:vAlign w:val="center"/>
          </w:tcPr>
          <w:p w:rsidR="007C64B4" w:rsidRPr="00B92FA1" w:rsidRDefault="007C64B4" w:rsidP="007C64B4">
            <w:pPr>
              <w:jc w:val="center"/>
              <w:rPr>
                <w:color w:val="000000"/>
                <w:lang w:val="en-GB"/>
              </w:rPr>
            </w:pPr>
            <w:r w:rsidRPr="00B92FA1">
              <w:rPr>
                <w:color w:val="000000"/>
                <w:sz w:val="22"/>
                <w:szCs w:val="22"/>
                <w:lang w:val="en-GB"/>
              </w:rPr>
              <w:sym w:font="Wingdings" w:char="F0FC"/>
            </w:r>
            <w:r w:rsidR="0089280F">
              <w:rPr>
                <w:rStyle w:val="Appelnotedebasdep"/>
                <w:color w:val="000000"/>
                <w:sz w:val="22"/>
                <w:szCs w:val="22"/>
                <w:lang w:val="en-GB"/>
              </w:rPr>
              <w:footnoteReference w:id="16"/>
            </w:r>
          </w:p>
        </w:tc>
        <w:tc>
          <w:tcPr>
            <w:tcW w:w="1395" w:type="dxa"/>
            <w:noWrap/>
            <w:vAlign w:val="center"/>
            <w:hideMark/>
          </w:tcPr>
          <w:p w:rsidR="007C64B4" w:rsidRPr="00B92FA1" w:rsidRDefault="007C64B4" w:rsidP="007C64B4">
            <w:pPr>
              <w:jc w:val="center"/>
              <w:rPr>
                <w:color w:val="000000"/>
                <w:lang w:val="en-GB"/>
              </w:rPr>
            </w:pPr>
            <w:r w:rsidRPr="00B92FA1">
              <w:rPr>
                <w:color w:val="000000"/>
                <w:sz w:val="22"/>
                <w:szCs w:val="22"/>
                <w:lang w:val="en-GB"/>
              </w:rPr>
              <w:sym w:font="Wingdings" w:char="F0FC"/>
            </w:r>
            <w:r w:rsidRPr="00B92FA1">
              <w:rPr>
                <w:rStyle w:val="Appelnotedebasdep"/>
                <w:color w:val="000000"/>
                <w:sz w:val="22"/>
                <w:szCs w:val="22"/>
                <w:lang w:val="en-GB"/>
              </w:rPr>
              <w:footnoteReference w:id="17"/>
            </w:r>
          </w:p>
        </w:tc>
        <w:tc>
          <w:tcPr>
            <w:tcW w:w="1263" w:type="dxa"/>
            <w:noWrap/>
            <w:vAlign w:val="center"/>
            <w:hideMark/>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951" w:type="dxa"/>
            <w:vAlign w:val="center"/>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896"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2338" w:type="dxa"/>
            <w:noWrap/>
            <w:vAlign w:val="center"/>
            <w:hideMark/>
          </w:tcPr>
          <w:p w:rsidR="007C64B4" w:rsidRPr="00061900" w:rsidRDefault="007C64B4" w:rsidP="007C64B4">
            <w:pPr>
              <w:jc w:val="center"/>
              <w:rPr>
                <w:color w:val="000000"/>
                <w:sz w:val="18"/>
                <w:szCs w:val="20"/>
                <w:lang w:val="en-GB"/>
              </w:rPr>
            </w:pPr>
            <w:r w:rsidRPr="00061900">
              <w:rPr>
                <w:color w:val="000000"/>
                <w:sz w:val="18"/>
                <w:szCs w:val="20"/>
                <w:lang w:val="en-GB"/>
              </w:rPr>
              <w:t>Art. 100 38/2015 Law</w:t>
            </w:r>
            <w:r w:rsidRPr="00061900">
              <w:rPr>
                <w:rStyle w:val="Appelnotedebasdep"/>
                <w:color w:val="000000"/>
                <w:sz w:val="18"/>
                <w:szCs w:val="20"/>
                <w:lang w:val="en-GB"/>
              </w:rPr>
              <w:footnoteReference w:id="18"/>
            </w:r>
          </w:p>
        </w:tc>
      </w:tr>
      <w:tr w:rsidR="002D24CC" w:rsidRPr="00B92FA1" w:rsidTr="002D24CC">
        <w:trPr>
          <w:trHeight w:val="299"/>
        </w:trPr>
        <w:tc>
          <w:tcPr>
            <w:tcW w:w="1162" w:type="dxa"/>
            <w:noWrap/>
            <w:hideMark/>
          </w:tcPr>
          <w:p w:rsidR="007C64B4" w:rsidRPr="00B92FA1" w:rsidRDefault="007C64B4" w:rsidP="007C64B4">
            <w:pPr>
              <w:rPr>
                <w:color w:val="000000"/>
                <w:lang w:val="en-GB"/>
              </w:rPr>
            </w:pPr>
            <w:r w:rsidRPr="00B92FA1">
              <w:rPr>
                <w:color w:val="000000"/>
                <w:sz w:val="22"/>
                <w:szCs w:val="22"/>
                <w:lang w:val="en-GB"/>
              </w:rPr>
              <w:t>Sweden</w:t>
            </w:r>
          </w:p>
        </w:tc>
        <w:tc>
          <w:tcPr>
            <w:tcW w:w="1752" w:type="dxa"/>
            <w:vAlign w:val="center"/>
          </w:tcPr>
          <w:p w:rsidR="007C64B4" w:rsidRPr="00B92FA1" w:rsidRDefault="007C64B4" w:rsidP="007C64B4">
            <w:pPr>
              <w:jc w:val="center"/>
              <w:rPr>
                <w:color w:val="000000"/>
                <w:lang w:val="en-GB"/>
              </w:rPr>
            </w:pPr>
            <w:r w:rsidRPr="00B92FA1">
              <w:rPr>
                <w:color w:val="000000"/>
                <w:sz w:val="22"/>
                <w:szCs w:val="22"/>
                <w:lang w:val="en-GB"/>
              </w:rPr>
              <w:sym w:font="Wingdings" w:char="F0FC"/>
            </w:r>
            <w:r>
              <w:rPr>
                <w:rStyle w:val="Appelnotedebasdep"/>
                <w:color w:val="000000"/>
                <w:sz w:val="22"/>
                <w:szCs w:val="22"/>
                <w:lang w:val="en-GB"/>
              </w:rPr>
              <w:footnoteReference w:id="19"/>
            </w:r>
          </w:p>
        </w:tc>
        <w:tc>
          <w:tcPr>
            <w:tcW w:w="1395" w:type="dxa"/>
            <w:noWrap/>
            <w:vAlign w:val="center"/>
            <w:hideMark/>
          </w:tcPr>
          <w:p w:rsidR="007C64B4" w:rsidRPr="00B92FA1" w:rsidRDefault="007C64B4" w:rsidP="007C64B4">
            <w:pPr>
              <w:jc w:val="center"/>
              <w:rPr>
                <w:color w:val="000000"/>
                <w:lang w:val="en-GB"/>
              </w:rPr>
            </w:pPr>
            <w:r w:rsidRPr="00B92FA1">
              <w:rPr>
                <w:b/>
                <w:color w:val="000000"/>
                <w:sz w:val="22"/>
                <w:szCs w:val="22"/>
                <w:lang w:val="en-GB"/>
              </w:rPr>
              <w:t>×</w:t>
            </w:r>
          </w:p>
        </w:tc>
        <w:tc>
          <w:tcPr>
            <w:tcW w:w="1263" w:type="dxa"/>
            <w:noWrap/>
            <w:vAlign w:val="center"/>
            <w:hideMark/>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951" w:type="dxa"/>
            <w:vAlign w:val="center"/>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896"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2338" w:type="dxa"/>
            <w:noWrap/>
            <w:vAlign w:val="center"/>
            <w:hideMark/>
          </w:tcPr>
          <w:p w:rsidR="007C64B4" w:rsidRPr="00061900" w:rsidRDefault="007C64B4" w:rsidP="007C64B4">
            <w:pPr>
              <w:jc w:val="center"/>
              <w:rPr>
                <w:color w:val="000000"/>
                <w:sz w:val="18"/>
                <w:szCs w:val="20"/>
                <w:lang w:val="en-GB"/>
              </w:rPr>
            </w:pPr>
            <w:r w:rsidRPr="00061900">
              <w:rPr>
                <w:color w:val="000000"/>
                <w:sz w:val="18"/>
                <w:szCs w:val="20"/>
                <w:lang w:val="en-GB"/>
              </w:rPr>
              <w:t>Railway Act (2004:519), chapter 8</w:t>
            </w:r>
          </w:p>
        </w:tc>
      </w:tr>
      <w:tr w:rsidR="002D24CC" w:rsidRPr="00282239" w:rsidTr="002D24CC">
        <w:trPr>
          <w:trHeight w:val="579"/>
        </w:trPr>
        <w:tc>
          <w:tcPr>
            <w:tcW w:w="1162" w:type="dxa"/>
            <w:noWrap/>
            <w:hideMark/>
          </w:tcPr>
          <w:p w:rsidR="007C64B4" w:rsidRPr="00B92FA1" w:rsidRDefault="007C64B4" w:rsidP="007C64B4">
            <w:pPr>
              <w:rPr>
                <w:color w:val="000000"/>
                <w:lang w:val="en-GB"/>
              </w:rPr>
            </w:pPr>
            <w:r w:rsidRPr="00B92FA1">
              <w:rPr>
                <w:color w:val="000000"/>
                <w:sz w:val="22"/>
                <w:szCs w:val="22"/>
                <w:lang w:val="en-GB"/>
              </w:rPr>
              <w:t>UK</w:t>
            </w:r>
          </w:p>
        </w:tc>
        <w:tc>
          <w:tcPr>
            <w:tcW w:w="1752" w:type="dxa"/>
            <w:vAlign w:val="center"/>
          </w:tcPr>
          <w:p w:rsidR="007C64B4" w:rsidRPr="00B92FA1" w:rsidRDefault="007C64B4" w:rsidP="007C64B4">
            <w:pPr>
              <w:jc w:val="center"/>
              <w:rPr>
                <w:color w:val="000000"/>
                <w:lang w:val="en-GB"/>
              </w:rPr>
            </w:pPr>
            <w:r w:rsidRPr="00B92FA1">
              <w:rPr>
                <w:color w:val="000000"/>
                <w:sz w:val="22"/>
                <w:szCs w:val="22"/>
                <w:lang w:val="en-GB"/>
              </w:rPr>
              <w:sym w:font="Wingdings" w:char="F0FC"/>
            </w:r>
          </w:p>
        </w:tc>
        <w:tc>
          <w:tcPr>
            <w:tcW w:w="1395" w:type="dxa"/>
            <w:noWrap/>
            <w:vAlign w:val="center"/>
            <w:hideMark/>
          </w:tcPr>
          <w:p w:rsidR="007C64B4" w:rsidRPr="00B92FA1" w:rsidRDefault="007C64B4" w:rsidP="007C64B4">
            <w:pPr>
              <w:jc w:val="center"/>
              <w:rPr>
                <w:color w:val="000000"/>
                <w:lang w:val="en-GB"/>
              </w:rPr>
            </w:pPr>
            <w:r w:rsidRPr="00B92FA1">
              <w:rPr>
                <w:color w:val="000000"/>
                <w:sz w:val="22"/>
                <w:szCs w:val="22"/>
                <w:lang w:val="en-GB"/>
              </w:rPr>
              <w:sym w:font="Wingdings" w:char="F0FC"/>
            </w:r>
          </w:p>
        </w:tc>
        <w:tc>
          <w:tcPr>
            <w:tcW w:w="1263" w:type="dxa"/>
            <w:noWrap/>
            <w:vAlign w:val="center"/>
            <w:hideMark/>
          </w:tcPr>
          <w:p w:rsidR="007C64B4" w:rsidRPr="008424C7" w:rsidRDefault="007C64B4" w:rsidP="007C64B4">
            <w:pPr>
              <w:jc w:val="center"/>
              <w:rPr>
                <w:color w:val="000000"/>
                <w:sz w:val="22"/>
                <w:lang w:val="en-GB"/>
              </w:rPr>
            </w:pPr>
            <w:r w:rsidRPr="00411B3E">
              <w:rPr>
                <w:b/>
                <w:color w:val="000000"/>
                <w:sz w:val="22"/>
                <w:szCs w:val="22"/>
                <w:lang w:val="en-GB"/>
              </w:rPr>
              <w:t>×</w:t>
            </w:r>
          </w:p>
        </w:tc>
        <w:tc>
          <w:tcPr>
            <w:tcW w:w="951"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r w:rsidRPr="00084A14">
              <w:rPr>
                <w:rStyle w:val="Appelnotedebasdep"/>
                <w:color w:val="000000"/>
                <w:sz w:val="22"/>
                <w:szCs w:val="22"/>
                <w:lang w:val="en-GB"/>
              </w:rPr>
              <w:footnoteReference w:id="20"/>
            </w:r>
          </w:p>
        </w:tc>
        <w:tc>
          <w:tcPr>
            <w:tcW w:w="896" w:type="dxa"/>
            <w:vAlign w:val="center"/>
          </w:tcPr>
          <w:p w:rsidR="007C64B4" w:rsidRPr="008424C7" w:rsidRDefault="007C64B4" w:rsidP="007C64B4">
            <w:pPr>
              <w:jc w:val="center"/>
              <w:rPr>
                <w:color w:val="000000"/>
                <w:sz w:val="22"/>
                <w:lang w:val="en-GB"/>
              </w:rPr>
            </w:pPr>
            <w:r w:rsidRPr="00411B3E">
              <w:rPr>
                <w:color w:val="000000"/>
                <w:sz w:val="22"/>
                <w:szCs w:val="22"/>
                <w:lang w:val="en-GB"/>
              </w:rPr>
              <w:sym w:font="Wingdings" w:char="F0FC"/>
            </w:r>
          </w:p>
        </w:tc>
        <w:tc>
          <w:tcPr>
            <w:tcW w:w="2338" w:type="dxa"/>
            <w:noWrap/>
            <w:vAlign w:val="center"/>
            <w:hideMark/>
          </w:tcPr>
          <w:p w:rsidR="007C64B4" w:rsidRPr="00061900" w:rsidRDefault="007C64B4" w:rsidP="007C64B4">
            <w:pPr>
              <w:jc w:val="center"/>
              <w:rPr>
                <w:color w:val="000000"/>
                <w:sz w:val="18"/>
                <w:szCs w:val="20"/>
                <w:lang w:val="en-GB"/>
              </w:rPr>
            </w:pPr>
            <w:r w:rsidRPr="00061900">
              <w:rPr>
                <w:color w:val="000000"/>
                <w:sz w:val="18"/>
                <w:szCs w:val="20"/>
                <w:lang w:val="en-GB"/>
              </w:rPr>
              <w:t>Railways (Access, Management and Licensing of Railway Undertakings) Regulations 2016.Art 14</w:t>
            </w:r>
          </w:p>
        </w:tc>
      </w:tr>
    </w:tbl>
    <w:p w:rsidR="007C64B4" w:rsidRPr="003E43B9" w:rsidRDefault="007C64B4" w:rsidP="007C64B4">
      <w:pPr>
        <w:spacing w:line="360" w:lineRule="auto"/>
        <w:jc w:val="center"/>
        <w:rPr>
          <w:sz w:val="20"/>
          <w:lang w:val="en-GB"/>
        </w:rPr>
      </w:pPr>
      <w:r w:rsidRPr="00A96026">
        <w:rPr>
          <w:sz w:val="20"/>
          <w:lang w:val="en-GB"/>
        </w:rPr>
        <w:t xml:space="preserve">Table </w:t>
      </w:r>
      <w:r w:rsidRPr="007C64B4">
        <w:rPr>
          <w:sz w:val="20"/>
          <w:lang w:val="en-GB"/>
        </w:rPr>
        <w:fldChar w:fldCharType="begin"/>
      </w:r>
      <w:r w:rsidRPr="007C64B4">
        <w:rPr>
          <w:sz w:val="20"/>
          <w:lang w:val="en-GB"/>
        </w:rPr>
        <w:instrText xml:space="preserve"> SEQ Table \* ARABIC </w:instrText>
      </w:r>
      <w:r w:rsidRPr="007C64B4">
        <w:rPr>
          <w:sz w:val="20"/>
          <w:lang w:val="en-GB"/>
        </w:rPr>
        <w:fldChar w:fldCharType="separate"/>
      </w:r>
      <w:r w:rsidR="0099201F">
        <w:rPr>
          <w:noProof/>
          <w:sz w:val="20"/>
          <w:lang w:val="en-GB"/>
        </w:rPr>
        <w:t>3</w:t>
      </w:r>
      <w:r w:rsidRPr="007C64B4">
        <w:rPr>
          <w:sz w:val="20"/>
          <w:lang w:val="en-GB"/>
        </w:rPr>
        <w:fldChar w:fldCharType="end"/>
      </w:r>
      <w:r w:rsidRPr="00165F26">
        <w:rPr>
          <w:b/>
          <w:sz w:val="20"/>
          <w:lang w:val="en-GB"/>
        </w:rPr>
        <w:t>:</w:t>
      </w:r>
      <w:r w:rsidRPr="008424C7">
        <w:rPr>
          <w:sz w:val="20"/>
          <w:lang w:val="en-GB"/>
        </w:rPr>
        <w:t xml:space="preserve"> </w:t>
      </w:r>
      <w:r w:rsidRPr="00A96026">
        <w:rPr>
          <w:sz w:val="20"/>
          <w:lang w:val="en-GB"/>
        </w:rPr>
        <w:t>Questions on Consultation and binding advices</w:t>
      </w:r>
    </w:p>
    <w:p w:rsidR="007C64B4" w:rsidRPr="00B92FA1" w:rsidRDefault="007C64B4" w:rsidP="007C64B4">
      <w:pPr>
        <w:jc w:val="both"/>
        <w:rPr>
          <w:lang w:val="en-GB"/>
        </w:rPr>
      </w:pPr>
      <w:r w:rsidRPr="00B92FA1">
        <w:rPr>
          <w:lang w:val="en-GB"/>
        </w:rPr>
        <w:lastRenderedPageBreak/>
        <w:t xml:space="preserve">In </w:t>
      </w:r>
      <w:r w:rsidR="001878D7">
        <w:rPr>
          <w:lang w:val="en-GB"/>
        </w:rPr>
        <w:t xml:space="preserve">nine </w:t>
      </w:r>
      <w:r w:rsidRPr="00B92FA1">
        <w:rPr>
          <w:lang w:val="en-GB"/>
        </w:rPr>
        <w:t xml:space="preserve">countries a consultation for charges for service facilities </w:t>
      </w:r>
      <w:r>
        <w:rPr>
          <w:lang w:val="en-GB"/>
        </w:rPr>
        <w:t>is</w:t>
      </w:r>
      <w:r w:rsidRPr="00B92FA1">
        <w:rPr>
          <w:lang w:val="en-GB"/>
        </w:rPr>
        <w:t xml:space="preserve"> conducted. </w:t>
      </w:r>
      <w:r w:rsidRPr="00B92FA1">
        <w:rPr>
          <w:color w:val="000000"/>
          <w:lang w:val="en-GB"/>
        </w:rPr>
        <w:t xml:space="preserve">In France for example the </w:t>
      </w:r>
      <w:r>
        <w:rPr>
          <w:color w:val="000000"/>
          <w:lang w:val="en-GB"/>
        </w:rPr>
        <w:t>charges</w:t>
      </w:r>
      <w:r w:rsidRPr="00B92FA1">
        <w:rPr>
          <w:color w:val="000000"/>
          <w:lang w:val="en-GB"/>
        </w:rPr>
        <w:t xml:space="preserve">, that are directly published in the network statement (mainly charges for </w:t>
      </w:r>
      <w:r>
        <w:rPr>
          <w:color w:val="000000"/>
          <w:lang w:val="en-GB"/>
        </w:rPr>
        <w:t>service facilities</w:t>
      </w:r>
      <w:r w:rsidRPr="00B92FA1">
        <w:rPr>
          <w:color w:val="000000"/>
          <w:lang w:val="en-GB"/>
        </w:rPr>
        <w:t xml:space="preserve"> owned by SNCF Réseau), are discussed during the consultation on the network statement. </w:t>
      </w:r>
      <w:r>
        <w:rPr>
          <w:color w:val="000000"/>
          <w:lang w:val="en-GB"/>
        </w:rPr>
        <w:t>SNCF Gares &amp; Connexions (</w:t>
      </w:r>
      <w:r w:rsidR="004D1F0F">
        <w:rPr>
          <w:color w:val="000000"/>
          <w:lang w:val="en-GB"/>
        </w:rPr>
        <w:t>buildin</w:t>
      </w:r>
      <w:r>
        <w:rPr>
          <w:color w:val="000000"/>
          <w:lang w:val="en-GB"/>
        </w:rPr>
        <w:t>gs) and SNCF Réseau (platforms) could conduct</w:t>
      </w:r>
      <w:r w:rsidRPr="00B92FA1">
        <w:rPr>
          <w:color w:val="000000"/>
          <w:lang w:val="en-GB"/>
        </w:rPr>
        <w:t xml:space="preserve"> a specific consultation on the passenger station statement. In Sweden the </w:t>
      </w:r>
      <w:r>
        <w:rPr>
          <w:color w:val="000000"/>
          <w:lang w:val="en-GB"/>
        </w:rPr>
        <w:t>infrastructure manager</w:t>
      </w:r>
      <w:r w:rsidRPr="00B92FA1">
        <w:rPr>
          <w:color w:val="000000"/>
          <w:lang w:val="en-GB"/>
        </w:rPr>
        <w:t xml:space="preserve"> charges (mainly track access in service facilities) are part of the consultation process for the </w:t>
      </w:r>
      <w:r>
        <w:rPr>
          <w:color w:val="000000"/>
          <w:lang w:val="en-GB"/>
        </w:rPr>
        <w:t>n</w:t>
      </w:r>
      <w:r w:rsidRPr="00B92FA1">
        <w:rPr>
          <w:color w:val="000000"/>
          <w:lang w:val="en-GB"/>
        </w:rPr>
        <w:t xml:space="preserve">etwork </w:t>
      </w:r>
      <w:r>
        <w:rPr>
          <w:color w:val="000000"/>
          <w:lang w:val="en-GB"/>
        </w:rPr>
        <w:t>s</w:t>
      </w:r>
      <w:r w:rsidRPr="00B92FA1">
        <w:rPr>
          <w:color w:val="000000"/>
          <w:lang w:val="en-GB"/>
        </w:rPr>
        <w:t>tatement. For services facilities and operative services supplied by competitive service providers in open markets (</w:t>
      </w:r>
      <w:r>
        <w:rPr>
          <w:color w:val="000000"/>
          <w:lang w:val="en-GB"/>
        </w:rPr>
        <w:t xml:space="preserve">e.g. </w:t>
      </w:r>
      <w:r w:rsidRPr="00B92FA1">
        <w:rPr>
          <w:color w:val="000000"/>
          <w:lang w:val="en-GB"/>
        </w:rPr>
        <w:t>maintenance</w:t>
      </w:r>
      <w:r>
        <w:rPr>
          <w:color w:val="000000"/>
          <w:lang w:val="en-GB"/>
        </w:rPr>
        <w:t xml:space="preserve"> and</w:t>
      </w:r>
      <w:r w:rsidRPr="00B92FA1">
        <w:rPr>
          <w:color w:val="000000"/>
          <w:lang w:val="en-GB"/>
        </w:rPr>
        <w:t xml:space="preserve"> fuel) charges </w:t>
      </w:r>
      <w:r>
        <w:rPr>
          <w:color w:val="000000"/>
          <w:lang w:val="en-GB"/>
        </w:rPr>
        <w:t xml:space="preserve">in Sweden </w:t>
      </w:r>
      <w:r w:rsidRPr="00B92FA1">
        <w:rPr>
          <w:color w:val="000000"/>
          <w:lang w:val="en-GB"/>
        </w:rPr>
        <w:t xml:space="preserve">are the result of supply and demand. </w:t>
      </w:r>
      <w:r>
        <w:rPr>
          <w:color w:val="000000"/>
          <w:lang w:val="en-GB"/>
        </w:rPr>
        <w:t>A</w:t>
      </w:r>
      <w:r w:rsidRPr="00B92FA1">
        <w:rPr>
          <w:color w:val="000000"/>
          <w:lang w:val="en-GB"/>
        </w:rPr>
        <w:t xml:space="preserve"> cost share model for services in passenger stations was developed in 2005/2006 in co-operation between the service provider and </w:t>
      </w:r>
      <w:r>
        <w:rPr>
          <w:color w:val="000000"/>
          <w:lang w:val="en-GB"/>
        </w:rPr>
        <w:t>railway undertaking</w:t>
      </w:r>
      <w:r w:rsidRPr="00B92FA1">
        <w:rPr>
          <w:color w:val="000000"/>
          <w:lang w:val="en-GB"/>
        </w:rPr>
        <w:t>s. In Spain there is a legal obligation for consultation</w:t>
      </w:r>
      <w:r w:rsidR="00EF1061">
        <w:rPr>
          <w:color w:val="000000"/>
          <w:lang w:val="en-GB"/>
        </w:rPr>
        <w:t xml:space="preserve"> for those charges for access to service facilities mentioned in </w:t>
      </w:r>
      <w:r w:rsidR="00282239">
        <w:rPr>
          <w:color w:val="000000"/>
          <w:lang w:val="en-GB"/>
        </w:rPr>
        <w:t>A</w:t>
      </w:r>
      <w:r w:rsidR="00EF1061">
        <w:rPr>
          <w:color w:val="000000"/>
          <w:lang w:val="en-GB"/>
        </w:rPr>
        <w:t>rt</w:t>
      </w:r>
      <w:r w:rsidR="009838F6">
        <w:rPr>
          <w:color w:val="000000"/>
          <w:lang w:val="en-GB"/>
        </w:rPr>
        <w:t>icle</w:t>
      </w:r>
      <w:r w:rsidR="00EF1061">
        <w:rPr>
          <w:color w:val="000000"/>
          <w:lang w:val="en-GB"/>
        </w:rPr>
        <w:t xml:space="preserve"> 98 of the Railway Act</w:t>
      </w:r>
      <w:r w:rsidRPr="00B92FA1">
        <w:rPr>
          <w:color w:val="000000"/>
          <w:lang w:val="en-GB"/>
        </w:rPr>
        <w:t>, but the detail</w:t>
      </w:r>
      <w:r>
        <w:rPr>
          <w:color w:val="000000"/>
          <w:lang w:val="en-GB"/>
        </w:rPr>
        <w:t>ed</w:t>
      </w:r>
      <w:r w:rsidRPr="00B92FA1">
        <w:rPr>
          <w:color w:val="000000"/>
          <w:lang w:val="en-GB"/>
        </w:rPr>
        <w:t xml:space="preserve"> principles</w:t>
      </w:r>
      <w:r>
        <w:rPr>
          <w:color w:val="000000"/>
          <w:lang w:val="en-GB"/>
        </w:rPr>
        <w:t>, especially regarding the deadlines relevant for the consultation,</w:t>
      </w:r>
      <w:r w:rsidRPr="00B92FA1">
        <w:rPr>
          <w:color w:val="000000"/>
          <w:lang w:val="en-GB"/>
        </w:rPr>
        <w:t xml:space="preserve"> </w:t>
      </w:r>
      <w:r>
        <w:rPr>
          <w:color w:val="000000"/>
          <w:lang w:val="en-GB"/>
        </w:rPr>
        <w:t>remain to be</w:t>
      </w:r>
      <w:r w:rsidRPr="00B92FA1">
        <w:rPr>
          <w:color w:val="000000"/>
          <w:lang w:val="en-GB"/>
        </w:rPr>
        <w:t xml:space="preserve"> developed. In Poland the regulatory body is not aware of any consultation, but it is possible that the </w:t>
      </w:r>
      <w:r>
        <w:rPr>
          <w:color w:val="000000"/>
          <w:lang w:val="en-GB"/>
        </w:rPr>
        <w:t>infrastructure manager</w:t>
      </w:r>
      <w:r w:rsidRPr="00B92FA1">
        <w:rPr>
          <w:color w:val="000000"/>
          <w:lang w:val="en-GB"/>
        </w:rPr>
        <w:t xml:space="preserve"> conducts consultation with </w:t>
      </w:r>
      <w:r>
        <w:rPr>
          <w:color w:val="000000"/>
          <w:lang w:val="en-GB"/>
        </w:rPr>
        <w:t>railway undertakings</w:t>
      </w:r>
      <w:r w:rsidRPr="00B92FA1">
        <w:rPr>
          <w:color w:val="000000"/>
          <w:lang w:val="en-GB"/>
        </w:rPr>
        <w:t xml:space="preserve">. </w:t>
      </w:r>
    </w:p>
    <w:p w:rsidR="007C64B4" w:rsidRPr="002B6AA7" w:rsidRDefault="007C64B4" w:rsidP="007C64B4">
      <w:pPr>
        <w:rPr>
          <w:sz w:val="20"/>
          <w:lang w:val="en-GB"/>
        </w:rPr>
      </w:pPr>
    </w:p>
    <w:p w:rsidR="007C64B4" w:rsidRDefault="007C64B4" w:rsidP="007C64B4">
      <w:pPr>
        <w:jc w:val="both"/>
        <w:rPr>
          <w:color w:val="000000"/>
          <w:lang w:val="en-GB"/>
        </w:rPr>
      </w:pPr>
      <w:r w:rsidRPr="00B92FA1">
        <w:rPr>
          <w:lang w:val="en-GB"/>
        </w:rPr>
        <w:t xml:space="preserve">Consultation on charges </w:t>
      </w:r>
      <w:r>
        <w:rPr>
          <w:lang w:val="en-GB"/>
        </w:rPr>
        <w:t>for</w:t>
      </w:r>
      <w:r w:rsidRPr="00B92FA1">
        <w:rPr>
          <w:lang w:val="en-GB"/>
        </w:rPr>
        <w:t xml:space="preserve"> service facilities </w:t>
      </w:r>
      <w:r>
        <w:rPr>
          <w:lang w:val="en-GB"/>
        </w:rPr>
        <w:t xml:space="preserve">has </w:t>
      </w:r>
      <w:r w:rsidRPr="00B92FA1">
        <w:rPr>
          <w:lang w:val="en-GB"/>
        </w:rPr>
        <w:t>bec</w:t>
      </w:r>
      <w:r>
        <w:rPr>
          <w:lang w:val="en-GB"/>
        </w:rPr>
        <w:t>o</w:t>
      </w:r>
      <w:r w:rsidRPr="00B92FA1">
        <w:rPr>
          <w:lang w:val="en-GB"/>
        </w:rPr>
        <w:t>me an important part in setting the charges and only</w:t>
      </w:r>
      <w:r>
        <w:rPr>
          <w:lang w:val="en-GB"/>
        </w:rPr>
        <w:t xml:space="preserve"> in</w:t>
      </w:r>
      <w:r w:rsidRPr="00B92FA1">
        <w:rPr>
          <w:lang w:val="en-GB"/>
        </w:rPr>
        <w:t xml:space="preserve"> Spain, the regulatory bod</w:t>
      </w:r>
      <w:r>
        <w:rPr>
          <w:lang w:val="en-GB"/>
        </w:rPr>
        <w:t>y is</w:t>
      </w:r>
      <w:r w:rsidRPr="00B92FA1">
        <w:rPr>
          <w:lang w:val="en-GB"/>
        </w:rPr>
        <w:t xml:space="preserve"> </w:t>
      </w:r>
      <w:r>
        <w:rPr>
          <w:lang w:val="en-GB"/>
        </w:rPr>
        <w:t xml:space="preserve">actively involved </w:t>
      </w:r>
      <w:r w:rsidRPr="00B92FA1">
        <w:rPr>
          <w:lang w:val="en-GB"/>
        </w:rPr>
        <w:t>in the consultation process</w:t>
      </w:r>
      <w:r w:rsidR="00EF1061" w:rsidRPr="00EF1061">
        <w:rPr>
          <w:color w:val="000000"/>
          <w:lang w:val="en-GB"/>
        </w:rPr>
        <w:t xml:space="preserve"> </w:t>
      </w:r>
      <w:r w:rsidR="00EF1061">
        <w:rPr>
          <w:color w:val="000000"/>
          <w:lang w:val="en-GB"/>
        </w:rPr>
        <w:t xml:space="preserve">for those charges for access to service facilities mentioned in </w:t>
      </w:r>
      <w:r w:rsidR="00282239">
        <w:rPr>
          <w:color w:val="000000"/>
          <w:lang w:val="en-GB"/>
        </w:rPr>
        <w:t>A</w:t>
      </w:r>
      <w:r w:rsidR="00EF1061">
        <w:rPr>
          <w:color w:val="000000"/>
          <w:lang w:val="en-GB"/>
        </w:rPr>
        <w:t>rt</w:t>
      </w:r>
      <w:r w:rsidR="009838F6">
        <w:rPr>
          <w:color w:val="000000"/>
          <w:lang w:val="en-GB"/>
        </w:rPr>
        <w:t>icle</w:t>
      </w:r>
      <w:r w:rsidR="00EF1061">
        <w:rPr>
          <w:color w:val="000000"/>
          <w:lang w:val="en-GB"/>
        </w:rPr>
        <w:t xml:space="preserve"> 98 of the Railway Act</w:t>
      </w:r>
      <w:r w:rsidRPr="00B92FA1">
        <w:rPr>
          <w:lang w:val="en-GB"/>
        </w:rPr>
        <w:t xml:space="preserve">. In Spain the regulatory body </w:t>
      </w:r>
      <w:r w:rsidRPr="00B92FA1">
        <w:rPr>
          <w:color w:val="000000"/>
          <w:lang w:val="en-GB"/>
        </w:rPr>
        <w:t>has to monitor the consultation process avoiding practices against regulatory framework</w:t>
      </w:r>
      <w:r>
        <w:rPr>
          <w:rStyle w:val="Appelnotedebasdep"/>
          <w:color w:val="000000"/>
          <w:lang w:val="en-GB"/>
        </w:rPr>
        <w:footnoteReference w:id="21"/>
      </w:r>
      <w:r w:rsidRPr="00B92FA1">
        <w:rPr>
          <w:color w:val="000000"/>
          <w:lang w:val="en-GB"/>
        </w:rPr>
        <w:t xml:space="preserve">. </w:t>
      </w:r>
      <w:r>
        <w:rPr>
          <w:color w:val="000000"/>
          <w:lang w:val="en-GB"/>
        </w:rPr>
        <w:t>In the UK, the regulatory body is only active in setting and consulting on charges for stations.</w:t>
      </w:r>
    </w:p>
    <w:p w:rsidR="007C64B4" w:rsidRPr="002B6AA7" w:rsidRDefault="007C64B4" w:rsidP="007C64B4">
      <w:pPr>
        <w:jc w:val="both"/>
        <w:rPr>
          <w:color w:val="000000"/>
          <w:sz w:val="20"/>
          <w:lang w:val="en-GB"/>
        </w:rPr>
      </w:pPr>
    </w:p>
    <w:p w:rsidR="007C64B4" w:rsidRPr="00B92FA1" w:rsidRDefault="007C64B4" w:rsidP="007C64B4">
      <w:pPr>
        <w:jc w:val="both"/>
        <w:rPr>
          <w:szCs w:val="22"/>
          <w:lang w:val="en-GB"/>
        </w:rPr>
      </w:pPr>
      <w:r>
        <w:rPr>
          <w:szCs w:val="22"/>
          <w:lang w:val="en-GB"/>
        </w:rPr>
        <w:t xml:space="preserve">In </w:t>
      </w:r>
      <w:r w:rsidR="00786114">
        <w:rPr>
          <w:szCs w:val="22"/>
          <w:lang w:val="en-GB"/>
        </w:rPr>
        <w:t>eight</w:t>
      </w:r>
      <w:r w:rsidR="00786114" w:rsidRPr="00B92FA1">
        <w:rPr>
          <w:szCs w:val="22"/>
          <w:lang w:val="en-GB"/>
        </w:rPr>
        <w:t xml:space="preserve"> </w:t>
      </w:r>
      <w:r w:rsidRPr="00B92FA1">
        <w:rPr>
          <w:szCs w:val="22"/>
          <w:lang w:val="en-GB"/>
        </w:rPr>
        <w:t xml:space="preserve">countries, like </w:t>
      </w:r>
      <w:r>
        <w:rPr>
          <w:szCs w:val="22"/>
          <w:lang w:val="en-GB"/>
        </w:rPr>
        <w:t xml:space="preserve">Austria, Finland, </w:t>
      </w:r>
      <w:r w:rsidRPr="00B92FA1">
        <w:rPr>
          <w:szCs w:val="22"/>
          <w:lang w:val="en-GB"/>
        </w:rPr>
        <w:t>France, Germany</w:t>
      </w:r>
      <w:r w:rsidR="009B4A9D">
        <w:rPr>
          <w:szCs w:val="22"/>
          <w:lang w:val="en-GB"/>
        </w:rPr>
        <w:t xml:space="preserve"> or</w:t>
      </w:r>
      <w:r w:rsidR="001A0E0C">
        <w:rPr>
          <w:szCs w:val="22"/>
          <w:lang w:val="en-GB"/>
        </w:rPr>
        <w:t xml:space="preserve"> the Netherlands</w:t>
      </w:r>
      <w:r w:rsidRPr="00B92FA1">
        <w:rPr>
          <w:szCs w:val="22"/>
          <w:lang w:val="en-GB"/>
        </w:rPr>
        <w:t xml:space="preserve">, </w:t>
      </w:r>
      <w:r>
        <w:rPr>
          <w:szCs w:val="22"/>
          <w:lang w:val="en-GB"/>
        </w:rPr>
        <w:t>the regulatory body can give ex-ante binding advice</w:t>
      </w:r>
      <w:r w:rsidRPr="00B92FA1">
        <w:rPr>
          <w:szCs w:val="22"/>
          <w:lang w:val="en-GB"/>
        </w:rPr>
        <w:t xml:space="preserve">. </w:t>
      </w:r>
      <w:r w:rsidRPr="006D434E">
        <w:rPr>
          <w:szCs w:val="22"/>
          <w:lang w:val="en-GB"/>
        </w:rPr>
        <w:t xml:space="preserve">In the UK, the regulatory body provides binding </w:t>
      </w:r>
      <w:r>
        <w:rPr>
          <w:szCs w:val="22"/>
          <w:lang w:val="en-GB"/>
        </w:rPr>
        <w:t>opinion</w:t>
      </w:r>
      <w:r w:rsidRPr="006D434E">
        <w:rPr>
          <w:szCs w:val="22"/>
          <w:lang w:val="en-GB"/>
        </w:rPr>
        <w:t xml:space="preserve"> for a subset of passenger stations and </w:t>
      </w:r>
      <w:r>
        <w:rPr>
          <w:szCs w:val="22"/>
          <w:lang w:val="en-GB"/>
        </w:rPr>
        <w:t xml:space="preserve">light maintenance </w:t>
      </w:r>
      <w:r w:rsidRPr="006D434E">
        <w:rPr>
          <w:szCs w:val="22"/>
          <w:lang w:val="en-GB"/>
        </w:rPr>
        <w:t xml:space="preserve">depot charges. At stations where the </w:t>
      </w:r>
      <w:r>
        <w:rPr>
          <w:szCs w:val="22"/>
          <w:lang w:val="en-GB"/>
        </w:rPr>
        <w:t>infrastructure</w:t>
      </w:r>
      <w:r w:rsidRPr="006D434E">
        <w:rPr>
          <w:szCs w:val="22"/>
          <w:lang w:val="en-GB"/>
        </w:rPr>
        <w:t xml:space="preserve"> </w:t>
      </w:r>
      <w:r>
        <w:rPr>
          <w:szCs w:val="22"/>
          <w:lang w:val="en-GB"/>
        </w:rPr>
        <w:t xml:space="preserve">manager </w:t>
      </w:r>
      <w:r w:rsidRPr="006D434E">
        <w:rPr>
          <w:szCs w:val="22"/>
          <w:lang w:val="en-GB"/>
        </w:rPr>
        <w:t>is responsible for maintenance</w:t>
      </w:r>
      <w:r>
        <w:rPr>
          <w:szCs w:val="22"/>
          <w:lang w:val="en-GB"/>
        </w:rPr>
        <w:t>,</w:t>
      </w:r>
      <w:r w:rsidRPr="006D434E">
        <w:rPr>
          <w:szCs w:val="22"/>
          <w:lang w:val="en-GB"/>
        </w:rPr>
        <w:t xml:space="preserve"> repair and renewal (which include both those managed by </w:t>
      </w:r>
      <w:r>
        <w:rPr>
          <w:szCs w:val="22"/>
          <w:lang w:val="en-GB"/>
        </w:rPr>
        <w:t>railway undertaking</w:t>
      </w:r>
      <w:r w:rsidRPr="006D434E">
        <w:rPr>
          <w:szCs w:val="22"/>
          <w:lang w:val="en-GB"/>
        </w:rPr>
        <w:t xml:space="preserve">s and those directly managed by the </w:t>
      </w:r>
      <w:r>
        <w:rPr>
          <w:szCs w:val="22"/>
          <w:lang w:val="en-GB"/>
        </w:rPr>
        <w:t>infrastructure manager</w:t>
      </w:r>
      <w:r w:rsidRPr="006D434E">
        <w:rPr>
          <w:szCs w:val="22"/>
          <w:lang w:val="en-GB"/>
        </w:rPr>
        <w:t xml:space="preserve">) the </w:t>
      </w:r>
      <w:r>
        <w:rPr>
          <w:szCs w:val="22"/>
          <w:lang w:val="en-GB"/>
        </w:rPr>
        <w:t>l</w:t>
      </w:r>
      <w:r w:rsidRPr="006D434E">
        <w:rPr>
          <w:szCs w:val="22"/>
          <w:lang w:val="en-GB"/>
        </w:rPr>
        <w:t xml:space="preserve">ong </w:t>
      </w:r>
      <w:r>
        <w:rPr>
          <w:szCs w:val="22"/>
          <w:lang w:val="en-GB"/>
        </w:rPr>
        <w:t>t</w:t>
      </w:r>
      <w:r w:rsidRPr="006D434E">
        <w:rPr>
          <w:szCs w:val="22"/>
          <w:lang w:val="en-GB"/>
        </w:rPr>
        <w:t xml:space="preserve">erm </w:t>
      </w:r>
      <w:r>
        <w:rPr>
          <w:szCs w:val="22"/>
          <w:lang w:val="en-GB"/>
        </w:rPr>
        <w:t>c</w:t>
      </w:r>
      <w:r w:rsidRPr="006D434E">
        <w:rPr>
          <w:szCs w:val="22"/>
          <w:lang w:val="en-GB"/>
        </w:rPr>
        <w:t xml:space="preserve">harge is regulated and set by </w:t>
      </w:r>
      <w:r>
        <w:rPr>
          <w:szCs w:val="22"/>
          <w:lang w:val="en-GB"/>
        </w:rPr>
        <w:t>the regulatory body</w:t>
      </w:r>
      <w:r w:rsidRPr="006D434E">
        <w:rPr>
          <w:szCs w:val="22"/>
          <w:lang w:val="en-GB"/>
        </w:rPr>
        <w:t xml:space="preserve"> for each control period. At stations where the </w:t>
      </w:r>
      <w:r>
        <w:rPr>
          <w:szCs w:val="22"/>
          <w:lang w:val="en-GB"/>
        </w:rPr>
        <w:t>infrastructure manager</w:t>
      </w:r>
      <w:r w:rsidRPr="006D434E">
        <w:rPr>
          <w:szCs w:val="22"/>
          <w:lang w:val="en-GB"/>
        </w:rPr>
        <w:t xml:space="preserve"> is not responsible for maintenance</w:t>
      </w:r>
      <w:r>
        <w:rPr>
          <w:szCs w:val="22"/>
          <w:lang w:val="en-GB"/>
        </w:rPr>
        <w:t>,</w:t>
      </w:r>
      <w:r w:rsidRPr="006D434E">
        <w:rPr>
          <w:szCs w:val="22"/>
          <w:lang w:val="en-GB"/>
        </w:rPr>
        <w:t xml:space="preserve"> repair and renewal and there is a </w:t>
      </w:r>
      <w:r>
        <w:rPr>
          <w:szCs w:val="22"/>
          <w:lang w:val="en-GB"/>
        </w:rPr>
        <w:t>l</w:t>
      </w:r>
      <w:r w:rsidRPr="006D434E">
        <w:rPr>
          <w:szCs w:val="22"/>
          <w:lang w:val="en-GB"/>
        </w:rPr>
        <w:t xml:space="preserve">ong </w:t>
      </w:r>
      <w:r>
        <w:rPr>
          <w:szCs w:val="22"/>
          <w:lang w:val="en-GB"/>
        </w:rPr>
        <w:t>t</w:t>
      </w:r>
      <w:r w:rsidRPr="006D434E">
        <w:rPr>
          <w:szCs w:val="22"/>
          <w:lang w:val="en-GB"/>
        </w:rPr>
        <w:t xml:space="preserve">erm </w:t>
      </w:r>
      <w:r>
        <w:rPr>
          <w:szCs w:val="22"/>
          <w:lang w:val="en-GB"/>
        </w:rPr>
        <w:t>c</w:t>
      </w:r>
      <w:r w:rsidRPr="006D434E">
        <w:rPr>
          <w:szCs w:val="22"/>
          <w:lang w:val="en-GB"/>
        </w:rPr>
        <w:t>harge</w:t>
      </w:r>
      <w:r>
        <w:rPr>
          <w:szCs w:val="22"/>
          <w:lang w:val="en-GB"/>
        </w:rPr>
        <w:t xml:space="preserve">, the regulatory body </w:t>
      </w:r>
      <w:r w:rsidRPr="006D434E">
        <w:rPr>
          <w:szCs w:val="22"/>
          <w:lang w:val="en-GB"/>
        </w:rPr>
        <w:t>regulates the charge through its approval of the Station Access Agreement.</w:t>
      </w:r>
      <w:r w:rsidRPr="0036308F">
        <w:rPr>
          <w:lang w:val="en-US"/>
        </w:rPr>
        <w:t xml:space="preserve"> </w:t>
      </w:r>
      <w:r>
        <w:rPr>
          <w:szCs w:val="22"/>
          <w:lang w:val="en-GB"/>
        </w:rPr>
        <w:t>The UK regulatory body regulates light maintenance depot charges through its approval of Depot Access Agreement between the depot facility owners and those parties interested in using the service facility.</w:t>
      </w:r>
      <w:r w:rsidRPr="00B92FA1">
        <w:rPr>
          <w:color w:val="000000"/>
          <w:szCs w:val="22"/>
          <w:lang w:val="en-GB"/>
        </w:rPr>
        <w:t xml:space="preserve"> I</w:t>
      </w:r>
      <w:r>
        <w:rPr>
          <w:color w:val="000000"/>
          <w:szCs w:val="22"/>
          <w:lang w:val="en-GB"/>
        </w:rPr>
        <w:t>f the Dutch regulator,</w:t>
      </w:r>
      <w:r w:rsidRPr="00B92FA1">
        <w:rPr>
          <w:color w:val="000000"/>
          <w:szCs w:val="22"/>
          <w:lang w:val="en-GB"/>
        </w:rPr>
        <w:t xml:space="preserve"> ACM</w:t>
      </w:r>
      <w:r>
        <w:rPr>
          <w:color w:val="000000"/>
          <w:szCs w:val="22"/>
          <w:lang w:val="en-GB"/>
        </w:rPr>
        <w:t>,</w:t>
      </w:r>
      <w:r w:rsidRPr="00B92FA1">
        <w:rPr>
          <w:color w:val="000000"/>
          <w:szCs w:val="22"/>
          <w:lang w:val="en-GB"/>
        </w:rPr>
        <w:t xml:space="preserve"> notes that the </w:t>
      </w:r>
      <w:r>
        <w:rPr>
          <w:color w:val="000000"/>
          <w:szCs w:val="22"/>
          <w:lang w:val="en-GB"/>
        </w:rPr>
        <w:t>charges</w:t>
      </w:r>
      <w:r w:rsidRPr="00B92FA1">
        <w:rPr>
          <w:color w:val="000000"/>
          <w:szCs w:val="22"/>
          <w:lang w:val="en-GB"/>
        </w:rPr>
        <w:t xml:space="preserve"> are not cost oriented, </w:t>
      </w:r>
      <w:r>
        <w:rPr>
          <w:color w:val="000000"/>
          <w:szCs w:val="22"/>
          <w:lang w:val="en-GB"/>
        </w:rPr>
        <w:t xml:space="preserve">he </w:t>
      </w:r>
      <w:r w:rsidRPr="00B92FA1">
        <w:rPr>
          <w:color w:val="000000"/>
          <w:szCs w:val="22"/>
          <w:lang w:val="en-GB"/>
        </w:rPr>
        <w:t xml:space="preserve">can </w:t>
      </w:r>
      <w:r w:rsidR="00A137B5">
        <w:rPr>
          <w:color w:val="000000"/>
          <w:szCs w:val="22"/>
          <w:lang w:val="en-GB"/>
        </w:rPr>
        <w:t>reject the proposal put forward by the service facility operator and</w:t>
      </w:r>
      <w:r w:rsidRPr="00B92FA1">
        <w:rPr>
          <w:color w:val="000000"/>
          <w:szCs w:val="22"/>
          <w:lang w:val="en-GB"/>
        </w:rPr>
        <w:t xml:space="preserve"> </w:t>
      </w:r>
      <w:proofErr w:type="gramStart"/>
      <w:r w:rsidR="00A137B5" w:rsidRPr="00B92FA1">
        <w:rPr>
          <w:color w:val="000000"/>
          <w:szCs w:val="22"/>
          <w:lang w:val="en-GB"/>
        </w:rPr>
        <w:t>advi</w:t>
      </w:r>
      <w:r w:rsidR="00A137B5">
        <w:rPr>
          <w:color w:val="000000"/>
          <w:szCs w:val="22"/>
          <w:lang w:val="en-GB"/>
        </w:rPr>
        <w:t>s</w:t>
      </w:r>
      <w:r w:rsidR="00A137B5" w:rsidRPr="00B92FA1">
        <w:rPr>
          <w:color w:val="000000"/>
          <w:szCs w:val="22"/>
          <w:lang w:val="en-GB"/>
        </w:rPr>
        <w:t>e</w:t>
      </w:r>
      <w:proofErr w:type="gramEnd"/>
      <w:r w:rsidR="00A137B5" w:rsidRPr="00B92FA1">
        <w:rPr>
          <w:color w:val="000000"/>
          <w:szCs w:val="22"/>
          <w:lang w:val="en-GB"/>
        </w:rPr>
        <w:t xml:space="preserve"> </w:t>
      </w:r>
      <w:r w:rsidRPr="00B92FA1">
        <w:rPr>
          <w:color w:val="000000"/>
          <w:szCs w:val="22"/>
          <w:lang w:val="en-GB"/>
        </w:rPr>
        <w:t xml:space="preserve">on how to change the charging. When necessary this advice can be given in the form of binding </w:t>
      </w:r>
      <w:r>
        <w:rPr>
          <w:color w:val="000000"/>
          <w:szCs w:val="22"/>
          <w:lang w:val="en-GB"/>
        </w:rPr>
        <w:t>opinion</w:t>
      </w:r>
      <w:r w:rsidRPr="00B92FA1">
        <w:rPr>
          <w:color w:val="000000"/>
          <w:szCs w:val="22"/>
          <w:lang w:val="en-GB"/>
        </w:rPr>
        <w:t>.</w:t>
      </w:r>
      <w:r>
        <w:rPr>
          <w:color w:val="000000"/>
          <w:szCs w:val="22"/>
          <w:lang w:val="en-GB"/>
        </w:rPr>
        <w:t xml:space="preserve"> Finally, in France, the regulatory body shall give a binding opinion on charges submitted by the service facility operator for the period they choose. National legislation foresees that service facility operators shall publish charges that have been approved by the regulatory body at least three months before the beginning of the working timetable.</w:t>
      </w:r>
      <w:r w:rsidR="00786114">
        <w:rPr>
          <w:color w:val="000000"/>
          <w:szCs w:val="22"/>
          <w:lang w:val="en-GB"/>
        </w:rPr>
        <w:t xml:space="preserve"> </w:t>
      </w:r>
      <w:r w:rsidR="00786114" w:rsidRPr="00B92FA1">
        <w:rPr>
          <w:szCs w:val="22"/>
          <w:lang w:val="en-GB"/>
        </w:rPr>
        <w:t xml:space="preserve">In Italy the regulatory body can </w:t>
      </w:r>
      <w:r w:rsidR="00786114">
        <w:rPr>
          <w:szCs w:val="22"/>
          <w:lang w:val="en-GB"/>
        </w:rPr>
        <w:t>give</w:t>
      </w:r>
      <w:r w:rsidR="00786114" w:rsidRPr="00B92FA1">
        <w:rPr>
          <w:szCs w:val="22"/>
          <w:lang w:val="en-GB"/>
        </w:rPr>
        <w:t xml:space="preserve"> </w:t>
      </w:r>
      <w:r w:rsidR="00212B89">
        <w:rPr>
          <w:szCs w:val="22"/>
          <w:lang w:val="en-GB"/>
        </w:rPr>
        <w:t xml:space="preserve">ex-ante </w:t>
      </w:r>
      <w:r w:rsidR="00786114" w:rsidRPr="00B92FA1">
        <w:rPr>
          <w:szCs w:val="22"/>
          <w:lang w:val="en-GB"/>
        </w:rPr>
        <w:t xml:space="preserve">binding </w:t>
      </w:r>
      <w:r w:rsidR="00786114">
        <w:rPr>
          <w:szCs w:val="22"/>
          <w:lang w:val="en-GB"/>
        </w:rPr>
        <w:t xml:space="preserve">opinion </w:t>
      </w:r>
      <w:r w:rsidR="00786114" w:rsidRPr="00B92FA1">
        <w:rPr>
          <w:color w:val="000000"/>
          <w:szCs w:val="22"/>
          <w:lang w:val="en-GB"/>
        </w:rPr>
        <w:t xml:space="preserve">for services provided by the </w:t>
      </w:r>
      <w:r w:rsidR="00786114">
        <w:rPr>
          <w:color w:val="000000"/>
          <w:szCs w:val="22"/>
          <w:lang w:val="en-GB"/>
        </w:rPr>
        <w:t>infrastructure manager. For the other service facility, ex-ante opinion is not required.</w:t>
      </w:r>
    </w:p>
    <w:p w:rsidR="007C64B4" w:rsidRPr="002B6AA7" w:rsidRDefault="007C64B4" w:rsidP="007C64B4">
      <w:pPr>
        <w:jc w:val="both"/>
        <w:rPr>
          <w:sz w:val="20"/>
          <w:lang w:val="en-GB"/>
        </w:rPr>
      </w:pPr>
    </w:p>
    <w:p w:rsidR="007C64B4" w:rsidRPr="00B92FA1" w:rsidRDefault="007C64B4" w:rsidP="007C64B4">
      <w:pPr>
        <w:jc w:val="both"/>
        <w:rPr>
          <w:lang w:val="en-GB"/>
        </w:rPr>
      </w:pPr>
      <w:r w:rsidRPr="00B92FA1">
        <w:rPr>
          <w:lang w:val="en-GB"/>
        </w:rPr>
        <w:t xml:space="preserve">In </w:t>
      </w:r>
      <w:r w:rsidR="001A0E0C" w:rsidRPr="00B95153">
        <w:rPr>
          <w:lang w:val="en-GB"/>
        </w:rPr>
        <w:t>f</w:t>
      </w:r>
      <w:r w:rsidR="001A0E0C">
        <w:rPr>
          <w:lang w:val="en-GB"/>
        </w:rPr>
        <w:t>ive</w:t>
      </w:r>
      <w:r w:rsidR="001A0E0C" w:rsidRPr="00B92FA1">
        <w:rPr>
          <w:lang w:val="en-GB"/>
        </w:rPr>
        <w:t xml:space="preserve"> </w:t>
      </w:r>
      <w:r w:rsidRPr="00B92FA1">
        <w:rPr>
          <w:lang w:val="en-GB"/>
        </w:rPr>
        <w:t xml:space="preserve">countries, </w:t>
      </w:r>
      <w:r w:rsidRPr="00B95153">
        <w:rPr>
          <w:lang w:val="en-GB"/>
        </w:rPr>
        <w:t xml:space="preserve">e.g. </w:t>
      </w:r>
      <w:r w:rsidRPr="00B92FA1">
        <w:rPr>
          <w:lang w:val="en-GB"/>
        </w:rPr>
        <w:t>Poland</w:t>
      </w:r>
      <w:r w:rsidRPr="00B95153">
        <w:rPr>
          <w:lang w:val="en-GB"/>
        </w:rPr>
        <w:t>,</w:t>
      </w:r>
      <w:r>
        <w:rPr>
          <w:lang w:val="en-GB"/>
        </w:rPr>
        <w:t xml:space="preserve"> Romania</w:t>
      </w:r>
      <w:r w:rsidRPr="00B92FA1">
        <w:rPr>
          <w:lang w:val="en-GB"/>
        </w:rPr>
        <w:t xml:space="preserve">, </w:t>
      </w:r>
      <w:r>
        <w:rPr>
          <w:lang w:val="en-GB"/>
        </w:rPr>
        <w:t>Portugal</w:t>
      </w:r>
      <w:r w:rsidR="001A0E0C">
        <w:rPr>
          <w:lang w:val="en-GB"/>
        </w:rPr>
        <w:t>, Italy</w:t>
      </w:r>
      <w:r>
        <w:rPr>
          <w:lang w:val="en-GB"/>
        </w:rPr>
        <w:t xml:space="preserve"> and Sweden, the regulatory body can provide ex-post decisions only</w:t>
      </w:r>
      <w:r w:rsidRPr="00B92FA1">
        <w:rPr>
          <w:lang w:val="en-GB"/>
        </w:rPr>
        <w:t xml:space="preserve">. </w:t>
      </w:r>
      <w:r w:rsidR="001A0E0C" w:rsidRPr="00B92FA1">
        <w:rPr>
          <w:szCs w:val="22"/>
          <w:lang w:val="en-GB"/>
        </w:rPr>
        <w:t xml:space="preserve">In Italy the regulatory body can </w:t>
      </w:r>
      <w:r w:rsidR="001A0E0C">
        <w:rPr>
          <w:szCs w:val="22"/>
          <w:lang w:val="en-GB"/>
        </w:rPr>
        <w:t>give</w:t>
      </w:r>
      <w:r w:rsidR="001A0E0C" w:rsidRPr="00B92FA1">
        <w:rPr>
          <w:szCs w:val="22"/>
          <w:lang w:val="en-GB"/>
        </w:rPr>
        <w:t xml:space="preserve"> </w:t>
      </w:r>
      <w:r w:rsidR="001A0E0C">
        <w:rPr>
          <w:szCs w:val="22"/>
          <w:lang w:val="en-GB"/>
        </w:rPr>
        <w:t xml:space="preserve">ex-post decision </w:t>
      </w:r>
      <w:r w:rsidR="001A0E0C" w:rsidRPr="00B92FA1">
        <w:rPr>
          <w:color w:val="000000"/>
          <w:szCs w:val="22"/>
          <w:lang w:val="en-GB"/>
        </w:rPr>
        <w:t xml:space="preserve">for </w:t>
      </w:r>
      <w:r w:rsidR="001A0E0C" w:rsidRPr="00B92FA1">
        <w:rPr>
          <w:color w:val="000000"/>
          <w:szCs w:val="22"/>
          <w:lang w:val="en-GB"/>
        </w:rPr>
        <w:lastRenderedPageBreak/>
        <w:t xml:space="preserve">services provided by the </w:t>
      </w:r>
      <w:r w:rsidR="001A0E0C">
        <w:rPr>
          <w:color w:val="000000"/>
          <w:szCs w:val="22"/>
          <w:lang w:val="en-GB"/>
        </w:rPr>
        <w:t>infrastructure manager</w:t>
      </w:r>
      <w:r w:rsidR="001A0E0C" w:rsidRPr="00B92FA1">
        <w:rPr>
          <w:color w:val="000000"/>
          <w:szCs w:val="22"/>
          <w:lang w:val="en-GB"/>
        </w:rPr>
        <w:t xml:space="preserve">. For the other </w:t>
      </w:r>
      <w:r w:rsidR="001A0E0C">
        <w:rPr>
          <w:color w:val="000000"/>
          <w:szCs w:val="22"/>
          <w:lang w:val="en-GB"/>
        </w:rPr>
        <w:t>service facility operators,</w:t>
      </w:r>
      <w:r w:rsidR="001A0E0C" w:rsidRPr="00B92FA1">
        <w:rPr>
          <w:color w:val="000000"/>
          <w:szCs w:val="22"/>
          <w:lang w:val="en-GB"/>
        </w:rPr>
        <w:t xml:space="preserve"> an </w:t>
      </w:r>
      <w:r w:rsidR="001A0E0C">
        <w:rPr>
          <w:color w:val="000000"/>
          <w:szCs w:val="22"/>
          <w:lang w:val="en-GB"/>
        </w:rPr>
        <w:t>ex-post decision</w:t>
      </w:r>
      <w:r w:rsidR="001A0E0C" w:rsidRPr="00B92FA1">
        <w:rPr>
          <w:color w:val="000000"/>
          <w:szCs w:val="22"/>
          <w:lang w:val="en-GB"/>
        </w:rPr>
        <w:t xml:space="preserve"> by the </w:t>
      </w:r>
      <w:r w:rsidR="001A0E0C">
        <w:rPr>
          <w:color w:val="000000"/>
          <w:szCs w:val="22"/>
          <w:lang w:val="en-GB"/>
        </w:rPr>
        <w:t>regulatory body</w:t>
      </w:r>
      <w:r w:rsidR="001A0E0C" w:rsidRPr="00B92FA1">
        <w:rPr>
          <w:color w:val="000000"/>
          <w:szCs w:val="22"/>
          <w:lang w:val="en-GB"/>
        </w:rPr>
        <w:t xml:space="preserve"> is not required.</w:t>
      </w:r>
      <w:r w:rsidR="001A0E0C">
        <w:rPr>
          <w:color w:val="000000"/>
          <w:szCs w:val="22"/>
          <w:lang w:val="en-GB"/>
        </w:rPr>
        <w:t xml:space="preserve"> </w:t>
      </w:r>
      <w:r w:rsidRPr="00B92FA1">
        <w:rPr>
          <w:lang w:val="en-GB"/>
        </w:rPr>
        <w:t>In Croatia, the regulatory body can only give a non-binding advice.</w:t>
      </w:r>
      <w:r>
        <w:rPr>
          <w:lang w:val="en-GB"/>
        </w:rPr>
        <w:t xml:space="preserve"> In Belgium, Greece and Slovenia, regulatory bodies do not give opinion and decision at all.</w:t>
      </w:r>
    </w:p>
    <w:p w:rsidR="007C64B4" w:rsidRPr="002B6AA7" w:rsidRDefault="007C64B4" w:rsidP="007C64B4">
      <w:pPr>
        <w:rPr>
          <w:sz w:val="20"/>
          <w:lang w:val="en-GB"/>
        </w:rPr>
      </w:pPr>
    </w:p>
    <w:p w:rsidR="007C64B4" w:rsidRDefault="007C64B4" w:rsidP="007C64B4">
      <w:pPr>
        <w:pStyle w:val="Paragraphedeliste"/>
        <w:numPr>
          <w:ilvl w:val="0"/>
          <w:numId w:val="9"/>
        </w:numPr>
        <w:outlineLvl w:val="0"/>
        <w:rPr>
          <w:rFonts w:ascii="Times New Roman" w:hAnsi="Times New Roman"/>
          <w:b/>
          <w:bCs/>
          <w:sz w:val="24"/>
          <w:szCs w:val="24"/>
          <w:u w:val="single"/>
        </w:rPr>
      </w:pPr>
      <w:bookmarkStart w:id="10" w:name="__RefHeading__5321_1151380434"/>
      <w:bookmarkStart w:id="11" w:name="_Toc495652229"/>
      <w:bookmarkStart w:id="12" w:name="_Toc494177952"/>
      <w:bookmarkStart w:id="13" w:name="_Toc496702652"/>
      <w:bookmarkEnd w:id="10"/>
      <w:r w:rsidRPr="00B92FA1">
        <w:rPr>
          <w:rFonts w:ascii="Times New Roman" w:hAnsi="Times New Roman"/>
          <w:b/>
          <w:bCs/>
          <w:sz w:val="24"/>
          <w:szCs w:val="24"/>
          <w:u w:val="single"/>
        </w:rPr>
        <w:t xml:space="preserve">Computation of charges </w:t>
      </w:r>
      <w:r>
        <w:rPr>
          <w:rFonts w:ascii="Times New Roman" w:hAnsi="Times New Roman"/>
          <w:b/>
          <w:bCs/>
          <w:sz w:val="24"/>
          <w:szCs w:val="24"/>
          <w:u w:val="single"/>
        </w:rPr>
        <w:t>in</w:t>
      </w:r>
      <w:r w:rsidRPr="00B92FA1">
        <w:rPr>
          <w:rFonts w:ascii="Times New Roman" w:hAnsi="Times New Roman"/>
          <w:b/>
          <w:bCs/>
          <w:sz w:val="24"/>
          <w:szCs w:val="24"/>
          <w:u w:val="single"/>
        </w:rPr>
        <w:t xml:space="preserve"> IRG</w:t>
      </w:r>
      <w:r>
        <w:rPr>
          <w:rFonts w:ascii="Times New Roman" w:hAnsi="Times New Roman"/>
          <w:b/>
          <w:bCs/>
          <w:sz w:val="24"/>
          <w:szCs w:val="24"/>
          <w:u w:val="single"/>
        </w:rPr>
        <w:t>-</w:t>
      </w:r>
      <w:r w:rsidRPr="00B92FA1">
        <w:rPr>
          <w:rFonts w:ascii="Times New Roman" w:hAnsi="Times New Roman"/>
          <w:b/>
          <w:bCs/>
          <w:sz w:val="24"/>
          <w:szCs w:val="24"/>
          <w:u w:val="single"/>
        </w:rPr>
        <w:t xml:space="preserve">Rail </w:t>
      </w:r>
      <w:bookmarkEnd w:id="11"/>
      <w:r w:rsidRPr="00B92FA1">
        <w:rPr>
          <w:rFonts w:ascii="Times New Roman" w:hAnsi="Times New Roman"/>
          <w:b/>
          <w:bCs/>
          <w:sz w:val="24"/>
          <w:szCs w:val="24"/>
          <w:u w:val="single"/>
        </w:rPr>
        <w:t>member</w:t>
      </w:r>
      <w:bookmarkEnd w:id="12"/>
      <w:r>
        <w:rPr>
          <w:rFonts w:ascii="Times New Roman" w:hAnsi="Times New Roman"/>
          <w:b/>
          <w:bCs/>
          <w:sz w:val="24"/>
          <w:szCs w:val="24"/>
          <w:u w:val="single"/>
        </w:rPr>
        <w:t xml:space="preserve"> countries</w:t>
      </w:r>
      <w:bookmarkEnd w:id="13"/>
    </w:p>
    <w:p w:rsidR="007C64B4" w:rsidRPr="002B6AA7" w:rsidRDefault="007C64B4" w:rsidP="007C64B4">
      <w:pPr>
        <w:pStyle w:val="Paragraphedeliste"/>
        <w:outlineLvl w:val="0"/>
        <w:rPr>
          <w:rFonts w:ascii="Times New Roman" w:hAnsi="Times New Roman"/>
          <w:b/>
          <w:bCs/>
          <w:sz w:val="16"/>
          <w:szCs w:val="24"/>
          <w:u w:val="single"/>
        </w:rPr>
      </w:pPr>
    </w:p>
    <w:p w:rsidR="007C64B4" w:rsidRPr="00B92FA1" w:rsidRDefault="007C64B4" w:rsidP="002B6AA7">
      <w:pPr>
        <w:pStyle w:val="Paragraphedeliste"/>
        <w:numPr>
          <w:ilvl w:val="0"/>
          <w:numId w:val="13"/>
        </w:numPr>
        <w:spacing w:after="120"/>
        <w:ind w:hanging="578"/>
        <w:jc w:val="both"/>
        <w:rPr>
          <w:rFonts w:ascii="Times New Roman" w:hAnsi="Times New Roman"/>
          <w:b/>
          <w:bCs/>
          <w:color w:val="000000" w:themeColor="text1"/>
        </w:rPr>
      </w:pPr>
      <w:r w:rsidRPr="00B92FA1">
        <w:rPr>
          <w:rFonts w:ascii="Times New Roman" w:hAnsi="Times New Roman"/>
          <w:b/>
          <w:bCs/>
          <w:color w:val="000000" w:themeColor="text1"/>
        </w:rPr>
        <w:t xml:space="preserve">Presenting the </w:t>
      </w:r>
      <w:r>
        <w:rPr>
          <w:rFonts w:ascii="Times New Roman" w:hAnsi="Times New Roman"/>
          <w:b/>
          <w:bCs/>
          <w:color w:val="000000" w:themeColor="text1"/>
        </w:rPr>
        <w:t>r</w:t>
      </w:r>
      <w:r w:rsidRPr="00B92FA1">
        <w:rPr>
          <w:rFonts w:ascii="Times New Roman" w:hAnsi="Times New Roman"/>
          <w:b/>
          <w:bCs/>
          <w:color w:val="000000" w:themeColor="text1"/>
        </w:rPr>
        <w:t>esults of the questionnaire</w:t>
      </w:r>
    </w:p>
    <w:p w:rsidR="007C64B4" w:rsidRPr="00B92FA1" w:rsidRDefault="007C64B4" w:rsidP="007C64B4">
      <w:pPr>
        <w:jc w:val="both"/>
        <w:rPr>
          <w:lang w:val="en-GB"/>
        </w:rPr>
      </w:pPr>
      <w:r w:rsidRPr="00B92FA1">
        <w:rPr>
          <w:lang w:val="en-GB"/>
        </w:rPr>
        <w:t xml:space="preserve">The majority of </w:t>
      </w:r>
      <w:r>
        <w:rPr>
          <w:lang w:val="en-GB"/>
        </w:rPr>
        <w:t>IRG-Rail</w:t>
      </w:r>
      <w:r w:rsidRPr="00B92FA1">
        <w:rPr>
          <w:lang w:val="en-GB"/>
        </w:rPr>
        <w:t xml:space="preserve"> member</w:t>
      </w:r>
      <w:r>
        <w:rPr>
          <w:lang w:val="en-GB"/>
        </w:rPr>
        <w:t>s</w:t>
      </w:r>
      <w:r w:rsidRPr="00B92FA1">
        <w:rPr>
          <w:lang w:val="en-GB"/>
        </w:rPr>
        <w:t xml:space="preserve"> are using the same charging principles </w:t>
      </w:r>
      <w:r>
        <w:rPr>
          <w:bCs/>
          <w:lang w:val="en-GB"/>
        </w:rPr>
        <w:t>for service facilities and rail-related services</w:t>
      </w:r>
      <w:r w:rsidRPr="00B92FA1" w:rsidDel="00DE03B7">
        <w:rPr>
          <w:lang w:val="en-GB"/>
        </w:rPr>
        <w:t xml:space="preserve"> </w:t>
      </w:r>
      <w:r>
        <w:rPr>
          <w:lang w:val="en-GB"/>
        </w:rPr>
        <w:t xml:space="preserve">based on </w:t>
      </w:r>
      <w:r w:rsidR="003A1B34">
        <w:rPr>
          <w:lang w:val="en-GB"/>
        </w:rPr>
        <w:t>A</w:t>
      </w:r>
      <w:r>
        <w:rPr>
          <w:lang w:val="en-GB"/>
        </w:rPr>
        <w:t>rticle 31 (7) of the Recast</w:t>
      </w:r>
      <w:r w:rsidRPr="00B92FA1">
        <w:rPr>
          <w:lang w:val="en-GB"/>
        </w:rPr>
        <w:t xml:space="preserve">. Only in four countries, Germany, France, The Netherlands and Slovenia, different charging principles for different service facilities are used. The law </w:t>
      </w:r>
      <w:r>
        <w:rPr>
          <w:lang w:val="en-GB"/>
        </w:rPr>
        <w:t>of</w:t>
      </w:r>
      <w:r w:rsidRPr="00B92FA1">
        <w:rPr>
          <w:lang w:val="en-GB"/>
        </w:rPr>
        <w:t xml:space="preserve"> some </w:t>
      </w:r>
      <w:r>
        <w:rPr>
          <w:lang w:val="en-GB"/>
        </w:rPr>
        <w:t>IRG-Rail</w:t>
      </w:r>
      <w:r w:rsidRPr="00B92FA1">
        <w:rPr>
          <w:lang w:val="en-GB"/>
        </w:rPr>
        <w:t xml:space="preserve"> member</w:t>
      </w:r>
      <w:r>
        <w:rPr>
          <w:lang w:val="en-GB"/>
        </w:rPr>
        <w:t>s</w:t>
      </w:r>
      <w:r w:rsidRPr="00B92FA1">
        <w:rPr>
          <w:lang w:val="en-GB"/>
        </w:rPr>
        <w:t xml:space="preserve"> requires that different charging principles be applied. </w:t>
      </w:r>
    </w:p>
    <w:p w:rsidR="007C64B4" w:rsidRPr="002B6AA7" w:rsidRDefault="007C64B4" w:rsidP="007C64B4">
      <w:pPr>
        <w:jc w:val="both"/>
        <w:rPr>
          <w:sz w:val="20"/>
          <w:lang w:val="en-GB"/>
        </w:rPr>
      </w:pPr>
    </w:p>
    <w:p w:rsidR="007C64B4" w:rsidRPr="00B92FA1" w:rsidRDefault="007C64B4" w:rsidP="007C64B4">
      <w:pPr>
        <w:jc w:val="both"/>
        <w:rPr>
          <w:lang w:val="en-GB"/>
        </w:rPr>
      </w:pPr>
      <w:r w:rsidRPr="00B92FA1">
        <w:rPr>
          <w:lang w:val="en-GB"/>
        </w:rPr>
        <w:t xml:space="preserve">This is the case </w:t>
      </w:r>
      <w:r>
        <w:rPr>
          <w:lang w:val="en-GB"/>
        </w:rPr>
        <w:t>for</w:t>
      </w:r>
      <w:r w:rsidRPr="00B92FA1">
        <w:rPr>
          <w:lang w:val="en-GB"/>
        </w:rPr>
        <w:t xml:space="preserve"> example </w:t>
      </w:r>
      <w:r>
        <w:rPr>
          <w:lang w:val="en-GB"/>
        </w:rPr>
        <w:t>in</w:t>
      </w:r>
      <w:r w:rsidRPr="00B92FA1">
        <w:rPr>
          <w:lang w:val="en-GB"/>
        </w:rPr>
        <w:t xml:space="preserve"> Germany for passenger stations, where different charging principles are applied</w:t>
      </w:r>
      <w:r>
        <w:rPr>
          <w:lang w:val="en-GB"/>
        </w:rPr>
        <w:t xml:space="preserve"> based on</w:t>
      </w:r>
      <w:r w:rsidRPr="00B92FA1">
        <w:rPr>
          <w:lang w:val="en-GB"/>
        </w:rPr>
        <w:t xml:space="preserve"> the specific </w:t>
      </w:r>
      <w:r>
        <w:rPr>
          <w:lang w:val="en-GB"/>
        </w:rPr>
        <w:t>nature</w:t>
      </w:r>
      <w:r w:rsidRPr="00B92FA1">
        <w:rPr>
          <w:lang w:val="en-GB"/>
        </w:rPr>
        <w:t xml:space="preserve"> </w:t>
      </w:r>
      <w:r>
        <w:rPr>
          <w:lang w:val="en-GB"/>
        </w:rPr>
        <w:t xml:space="preserve">of </w:t>
      </w:r>
      <w:r w:rsidRPr="00B92FA1">
        <w:rPr>
          <w:lang w:val="en-GB"/>
        </w:rPr>
        <w:t xml:space="preserve">the station. </w:t>
      </w:r>
      <w:r w:rsidRPr="005F08B5">
        <w:rPr>
          <w:lang w:val="en-AU"/>
        </w:rPr>
        <w:t>For instance</w:t>
      </w:r>
      <w:r>
        <w:rPr>
          <w:lang w:val="en-AU"/>
        </w:rPr>
        <w:t>,</w:t>
      </w:r>
      <w:r w:rsidRPr="005F08B5">
        <w:rPr>
          <w:lang w:val="en-AU"/>
        </w:rPr>
        <w:t xml:space="preserve"> passenger stations for </w:t>
      </w:r>
      <w:r>
        <w:rPr>
          <w:lang w:val="en-AU"/>
        </w:rPr>
        <w:t>public service (PSO)</w:t>
      </w:r>
      <w:r w:rsidRPr="005F08B5">
        <w:rPr>
          <w:lang w:val="en-AU"/>
        </w:rPr>
        <w:t xml:space="preserve"> contracts in Germany are handled differently when the </w:t>
      </w:r>
      <w:r w:rsidR="001A0E0C" w:rsidRPr="005F08B5">
        <w:rPr>
          <w:lang w:val="en-AU"/>
        </w:rPr>
        <w:t>state</w:t>
      </w:r>
      <w:r w:rsidR="001A0E0C">
        <w:rPr>
          <w:lang w:val="en-AU"/>
        </w:rPr>
        <w:t>-</w:t>
      </w:r>
      <w:r w:rsidRPr="005F08B5">
        <w:rPr>
          <w:lang w:val="en-AU"/>
        </w:rPr>
        <w:t xml:space="preserve">owned </w:t>
      </w:r>
      <w:r>
        <w:rPr>
          <w:lang w:val="en-AU"/>
        </w:rPr>
        <w:t>infrastructure manager owns the stations</w:t>
      </w:r>
      <w:r w:rsidRPr="005F08B5">
        <w:rPr>
          <w:lang w:val="en-AU"/>
        </w:rPr>
        <w:t xml:space="preserve">. In this case </w:t>
      </w:r>
      <w:r>
        <w:rPr>
          <w:lang w:val="en-AU"/>
        </w:rPr>
        <w:t>charges</w:t>
      </w:r>
      <w:r w:rsidRPr="005F08B5">
        <w:rPr>
          <w:lang w:val="en-AU"/>
        </w:rPr>
        <w:t xml:space="preserve"> are supposed to increase </w:t>
      </w:r>
      <w:r>
        <w:rPr>
          <w:lang w:val="en-AU"/>
        </w:rPr>
        <w:t>at</w:t>
      </w:r>
      <w:r w:rsidRPr="005F08B5">
        <w:rPr>
          <w:lang w:val="en-AU"/>
        </w:rPr>
        <w:t xml:space="preserve"> the same rate as the </w:t>
      </w:r>
      <w:r>
        <w:rPr>
          <w:lang w:val="en-AU"/>
        </w:rPr>
        <w:t>funding</w:t>
      </w:r>
      <w:r w:rsidRPr="005F08B5">
        <w:rPr>
          <w:lang w:val="en-AU"/>
        </w:rPr>
        <w:t xml:space="preserve"> provided for the PSOs </w:t>
      </w:r>
      <w:r>
        <w:rPr>
          <w:lang w:val="en-AU"/>
        </w:rPr>
        <w:t>through the</w:t>
      </w:r>
      <w:r w:rsidRPr="005F08B5">
        <w:rPr>
          <w:lang w:val="en-AU"/>
        </w:rPr>
        <w:t xml:space="preserve"> </w:t>
      </w:r>
      <w:r w:rsidRPr="00984D57">
        <w:rPr>
          <w:lang w:val="en-AU"/>
        </w:rPr>
        <w:t>federal regionalization funds</w:t>
      </w:r>
      <w:r w:rsidRPr="005F08B5">
        <w:rPr>
          <w:lang w:val="en-AU"/>
        </w:rPr>
        <w:t>.</w:t>
      </w:r>
      <w:r>
        <w:rPr>
          <w:lang w:val="en-AU"/>
        </w:rPr>
        <w:t xml:space="preserve"> Additionally, </w:t>
      </w:r>
      <w:r w:rsidRPr="00DB5DF5">
        <w:rPr>
          <w:lang w:val="en-AU"/>
        </w:rPr>
        <w:t xml:space="preserve">special rules to prevent discrimination and ensure appropriate prices and transparency (§ 63 Abs.2 </w:t>
      </w:r>
      <w:proofErr w:type="spellStart"/>
      <w:r w:rsidRPr="00DB5DF5">
        <w:rPr>
          <w:lang w:val="en-AU"/>
        </w:rPr>
        <w:t>ERegG</w:t>
      </w:r>
      <w:proofErr w:type="spellEnd"/>
      <w:r w:rsidRPr="00DB5DF5">
        <w:rPr>
          <w:lang w:val="en-AU"/>
        </w:rPr>
        <w:t>) apply for maintenance facilities.</w:t>
      </w:r>
      <w:r>
        <w:rPr>
          <w:lang w:val="en-AU"/>
        </w:rPr>
        <w:t xml:space="preserve"> </w:t>
      </w:r>
      <w:r w:rsidRPr="00B51AE4">
        <w:rPr>
          <w:lang w:val="en-GB"/>
        </w:rPr>
        <w:t>In France</w:t>
      </w:r>
      <w:r>
        <w:rPr>
          <w:lang w:val="en-GB"/>
        </w:rPr>
        <w:t>,</w:t>
      </w:r>
      <w:r w:rsidRPr="00B51AE4">
        <w:rPr>
          <w:lang w:val="en-GB"/>
        </w:rPr>
        <w:t xml:space="preserve"> the use of different charging principles is only partly</w:t>
      </w:r>
      <w:r w:rsidRPr="00B92FA1">
        <w:rPr>
          <w:lang w:val="en-GB"/>
        </w:rPr>
        <w:t xml:space="preserve"> foreseen by law. The decree 2012-70 </w:t>
      </w:r>
      <w:r>
        <w:rPr>
          <w:lang w:val="en-GB"/>
        </w:rPr>
        <w:t>lists exhaustively the services supplied that are regulated and for which the provisions of</w:t>
      </w:r>
      <w:r w:rsidRPr="00B92FA1">
        <w:rPr>
          <w:lang w:val="en-GB"/>
        </w:rPr>
        <w:t xml:space="preserve"> Art</w:t>
      </w:r>
      <w:r>
        <w:rPr>
          <w:lang w:val="en-GB"/>
        </w:rPr>
        <w:t>icle</w:t>
      </w:r>
      <w:r w:rsidRPr="00B92FA1">
        <w:rPr>
          <w:lang w:val="en-GB"/>
        </w:rPr>
        <w:t xml:space="preserve"> 31 (7)</w:t>
      </w:r>
      <w:r>
        <w:rPr>
          <w:lang w:val="en-GB"/>
        </w:rPr>
        <w:t>, transposed</w:t>
      </w:r>
      <w:r w:rsidRPr="00B92FA1">
        <w:rPr>
          <w:lang w:val="en-GB"/>
        </w:rPr>
        <w:t xml:space="preserve"> </w:t>
      </w:r>
      <w:r>
        <w:rPr>
          <w:lang w:val="en-GB"/>
        </w:rPr>
        <w:t>in the same decree, apply</w:t>
      </w:r>
      <w:r w:rsidRPr="00B92FA1">
        <w:rPr>
          <w:lang w:val="en-GB"/>
        </w:rPr>
        <w:t xml:space="preserve">. </w:t>
      </w:r>
    </w:p>
    <w:p w:rsidR="007C64B4" w:rsidRPr="002B6AA7" w:rsidRDefault="007C64B4" w:rsidP="007C64B4">
      <w:pPr>
        <w:jc w:val="both"/>
        <w:rPr>
          <w:sz w:val="20"/>
          <w:lang w:val="en-GB"/>
        </w:rPr>
      </w:pPr>
    </w:p>
    <w:p w:rsidR="007C64B4" w:rsidRPr="00B92FA1" w:rsidRDefault="001A0E0C" w:rsidP="007C64B4">
      <w:pPr>
        <w:jc w:val="both"/>
        <w:rPr>
          <w:lang w:val="en-GB"/>
        </w:rPr>
      </w:pPr>
      <w:r w:rsidRPr="00B92FA1">
        <w:rPr>
          <w:lang w:val="en-GB"/>
        </w:rPr>
        <w:t xml:space="preserve">The application of charging principles in Italy depends on </w:t>
      </w:r>
      <w:r>
        <w:rPr>
          <w:lang w:val="en-GB"/>
        </w:rPr>
        <w:t xml:space="preserve">various elements, such as </w:t>
      </w:r>
      <w:r w:rsidRPr="00B92FA1">
        <w:rPr>
          <w:lang w:val="en-GB"/>
        </w:rPr>
        <w:t xml:space="preserve">the </w:t>
      </w:r>
      <w:r>
        <w:rPr>
          <w:lang w:val="en-US"/>
        </w:rPr>
        <w:t>extent</w:t>
      </w:r>
      <w:r w:rsidRPr="00D70455">
        <w:rPr>
          <w:lang w:val="en-US"/>
        </w:rPr>
        <w:t xml:space="preserve"> of market power</w:t>
      </w:r>
      <w:r w:rsidRPr="00B92FA1">
        <w:rPr>
          <w:lang w:val="en-GB"/>
        </w:rPr>
        <w:t xml:space="preserve"> of the </w:t>
      </w:r>
      <w:r>
        <w:rPr>
          <w:lang w:val="en-GB"/>
        </w:rPr>
        <w:t>service facility operator</w:t>
      </w:r>
      <w:r>
        <w:rPr>
          <w:rStyle w:val="Appelnotedebasdep"/>
          <w:lang w:val="en-GB"/>
        </w:rPr>
        <w:footnoteReference w:id="22"/>
      </w:r>
      <w:r>
        <w:rPr>
          <w:lang w:val="en-GB"/>
        </w:rPr>
        <w:t>;</w:t>
      </w:r>
      <w:r w:rsidRPr="00B92FA1">
        <w:rPr>
          <w:lang w:val="en-GB"/>
        </w:rPr>
        <w:t xml:space="preserve"> </w:t>
      </w:r>
      <w:r>
        <w:rPr>
          <w:lang w:val="en-GB"/>
        </w:rPr>
        <w:t>the applicable regulation is set by</w:t>
      </w:r>
      <w:r w:rsidRPr="00B92FA1">
        <w:rPr>
          <w:lang w:val="en-GB"/>
        </w:rPr>
        <w:t xml:space="preserve"> </w:t>
      </w:r>
      <w:r>
        <w:rPr>
          <w:lang w:val="en-GB"/>
        </w:rPr>
        <w:t>ART in its</w:t>
      </w:r>
      <w:r w:rsidRPr="00B92FA1">
        <w:rPr>
          <w:lang w:val="en-GB"/>
        </w:rPr>
        <w:t xml:space="preserve"> </w:t>
      </w:r>
      <w:r>
        <w:rPr>
          <w:lang w:val="en-GB"/>
        </w:rPr>
        <w:t>decision n° </w:t>
      </w:r>
      <w:r w:rsidRPr="00B92FA1">
        <w:rPr>
          <w:lang w:val="en-GB"/>
        </w:rPr>
        <w:t xml:space="preserve">96/2015 </w:t>
      </w:r>
      <w:r>
        <w:rPr>
          <w:lang w:val="en-GB"/>
        </w:rPr>
        <w:t>as described above. A service facility operator, characterized by a significant market power,</w:t>
      </w:r>
      <w:r w:rsidRPr="00B92FA1">
        <w:rPr>
          <w:lang w:val="en-GB"/>
        </w:rPr>
        <w:t xml:space="preserve"> has to comply with some obligations on (</w:t>
      </w:r>
      <w:proofErr w:type="spellStart"/>
      <w:r w:rsidRPr="00B92FA1">
        <w:rPr>
          <w:lang w:val="en-GB"/>
        </w:rPr>
        <w:t>i</w:t>
      </w:r>
      <w:proofErr w:type="spellEnd"/>
      <w:r w:rsidRPr="00B92FA1">
        <w:rPr>
          <w:lang w:val="en-GB"/>
        </w:rPr>
        <w:t>)</w:t>
      </w:r>
      <w:r>
        <w:rPr>
          <w:lang w:val="en-GB"/>
        </w:rPr>
        <w:t xml:space="preserve"> the</w:t>
      </w:r>
      <w:r w:rsidRPr="00B92FA1">
        <w:rPr>
          <w:lang w:val="en-GB"/>
        </w:rPr>
        <w:t xml:space="preserve"> length of </w:t>
      </w:r>
      <w:r>
        <w:rPr>
          <w:lang w:val="en-GB"/>
        </w:rPr>
        <w:t xml:space="preserve">the </w:t>
      </w:r>
      <w:r w:rsidRPr="00B92FA1">
        <w:rPr>
          <w:lang w:val="en-GB"/>
        </w:rPr>
        <w:t>regulatory period</w:t>
      </w:r>
      <w:r>
        <w:rPr>
          <w:lang w:val="en-GB"/>
        </w:rPr>
        <w:t xml:space="preserve"> (5 years)</w:t>
      </w:r>
      <w:r w:rsidRPr="00B92FA1">
        <w:rPr>
          <w:lang w:val="en-GB"/>
        </w:rPr>
        <w:t xml:space="preserve">; (ii) </w:t>
      </w:r>
      <w:r>
        <w:rPr>
          <w:lang w:val="en-GB"/>
        </w:rPr>
        <w:t xml:space="preserve">the </w:t>
      </w:r>
      <w:r w:rsidRPr="00B92FA1">
        <w:rPr>
          <w:lang w:val="en-GB"/>
        </w:rPr>
        <w:t>estimation of a reasonable profit</w:t>
      </w:r>
      <w:r>
        <w:rPr>
          <w:lang w:val="en-GB"/>
        </w:rPr>
        <w:t xml:space="preserve"> (for the first regulatory period, the reference is the WACC);</w:t>
      </w:r>
      <w:r w:rsidRPr="00B92FA1">
        <w:rPr>
          <w:lang w:val="en-GB"/>
        </w:rPr>
        <w:t xml:space="preserve"> (iii) </w:t>
      </w:r>
      <w:r>
        <w:rPr>
          <w:lang w:val="en-GB"/>
        </w:rPr>
        <w:t xml:space="preserve">the </w:t>
      </w:r>
      <w:r w:rsidRPr="00B92FA1">
        <w:rPr>
          <w:lang w:val="en-GB"/>
        </w:rPr>
        <w:t>regulatory accountability.</w:t>
      </w:r>
    </w:p>
    <w:p w:rsidR="007C64B4" w:rsidRPr="002B6AA7" w:rsidRDefault="007C64B4" w:rsidP="007C64B4">
      <w:pPr>
        <w:jc w:val="both"/>
        <w:rPr>
          <w:sz w:val="20"/>
          <w:lang w:val="en-GB"/>
        </w:rPr>
      </w:pPr>
    </w:p>
    <w:p w:rsidR="007C64B4" w:rsidRPr="00B92FA1" w:rsidRDefault="007C64B4" w:rsidP="000F1821">
      <w:pPr>
        <w:spacing w:after="80"/>
        <w:jc w:val="both"/>
        <w:rPr>
          <w:lang w:val="en-GB"/>
        </w:rPr>
      </w:pPr>
      <w:r w:rsidRPr="00B92FA1">
        <w:rPr>
          <w:lang w:val="en-GB"/>
        </w:rPr>
        <w:t xml:space="preserve">Even </w:t>
      </w:r>
      <w:r>
        <w:rPr>
          <w:lang w:val="en-GB"/>
        </w:rPr>
        <w:t>though most</w:t>
      </w:r>
      <w:r w:rsidRPr="00B92FA1">
        <w:rPr>
          <w:lang w:val="en-GB"/>
        </w:rPr>
        <w:t xml:space="preserve"> countries appl</w:t>
      </w:r>
      <w:r>
        <w:rPr>
          <w:lang w:val="en-GB"/>
        </w:rPr>
        <w:t>y</w:t>
      </w:r>
      <w:r w:rsidRPr="00B92FA1">
        <w:rPr>
          <w:lang w:val="en-GB"/>
        </w:rPr>
        <w:t xml:space="preserve"> the same charging principles for all service facilities, </w:t>
      </w:r>
      <w:r>
        <w:rPr>
          <w:lang w:val="en-GB"/>
        </w:rPr>
        <w:t>this overview focuses on the following service facilities</w:t>
      </w:r>
      <w:r w:rsidRPr="00B92FA1">
        <w:rPr>
          <w:lang w:val="en-GB"/>
        </w:rPr>
        <w:t>:</w:t>
      </w:r>
    </w:p>
    <w:p w:rsidR="007C64B4" w:rsidRPr="00B92FA1" w:rsidRDefault="007C64B4" w:rsidP="007C64B4">
      <w:pPr>
        <w:pStyle w:val="Paragraphedeliste"/>
        <w:numPr>
          <w:ilvl w:val="0"/>
          <w:numId w:val="35"/>
        </w:numPr>
        <w:rPr>
          <w:rFonts w:ascii="Times New Roman" w:hAnsi="Times New Roman"/>
          <w:sz w:val="24"/>
        </w:rPr>
      </w:pPr>
      <w:r w:rsidRPr="00B92FA1">
        <w:rPr>
          <w:rFonts w:ascii="Times New Roman" w:hAnsi="Times New Roman"/>
          <w:sz w:val="24"/>
        </w:rPr>
        <w:t>Passenger stations</w:t>
      </w:r>
    </w:p>
    <w:p w:rsidR="007C64B4" w:rsidRPr="00B92FA1" w:rsidRDefault="007C64B4" w:rsidP="007C64B4">
      <w:pPr>
        <w:pStyle w:val="Paragraphedeliste"/>
        <w:numPr>
          <w:ilvl w:val="0"/>
          <w:numId w:val="35"/>
        </w:numPr>
        <w:rPr>
          <w:rFonts w:ascii="Times New Roman" w:hAnsi="Times New Roman"/>
          <w:sz w:val="24"/>
        </w:rPr>
      </w:pPr>
      <w:r w:rsidRPr="00B92FA1">
        <w:rPr>
          <w:rFonts w:ascii="Times New Roman" w:hAnsi="Times New Roman"/>
          <w:sz w:val="24"/>
        </w:rPr>
        <w:t>Intermodal freight terminals</w:t>
      </w:r>
    </w:p>
    <w:p w:rsidR="007C64B4" w:rsidRPr="00B92FA1" w:rsidRDefault="007C64B4" w:rsidP="007C64B4">
      <w:pPr>
        <w:pStyle w:val="Paragraphedeliste"/>
        <w:numPr>
          <w:ilvl w:val="0"/>
          <w:numId w:val="35"/>
        </w:numPr>
        <w:rPr>
          <w:rFonts w:ascii="Times New Roman" w:hAnsi="Times New Roman"/>
          <w:sz w:val="24"/>
        </w:rPr>
      </w:pPr>
      <w:r w:rsidRPr="00B92FA1">
        <w:rPr>
          <w:rFonts w:ascii="Times New Roman" w:hAnsi="Times New Roman"/>
          <w:sz w:val="24"/>
        </w:rPr>
        <w:t>Marshalling yards with gravity hills</w:t>
      </w:r>
    </w:p>
    <w:p w:rsidR="007C64B4" w:rsidRPr="00B92FA1" w:rsidRDefault="007C64B4" w:rsidP="007C64B4">
      <w:pPr>
        <w:pStyle w:val="Paragraphedeliste"/>
        <w:numPr>
          <w:ilvl w:val="0"/>
          <w:numId w:val="35"/>
        </w:numPr>
        <w:rPr>
          <w:rFonts w:ascii="Times New Roman" w:hAnsi="Times New Roman"/>
          <w:sz w:val="24"/>
        </w:rPr>
      </w:pPr>
      <w:r w:rsidRPr="00B92FA1">
        <w:rPr>
          <w:rFonts w:ascii="Times New Roman" w:hAnsi="Times New Roman"/>
          <w:sz w:val="24"/>
        </w:rPr>
        <w:t>Maintenance facilities</w:t>
      </w:r>
    </w:p>
    <w:p w:rsidR="007C64B4" w:rsidRDefault="007C64B4" w:rsidP="007C64B4">
      <w:pPr>
        <w:pStyle w:val="Paragraphedeliste"/>
        <w:numPr>
          <w:ilvl w:val="0"/>
          <w:numId w:val="35"/>
        </w:numPr>
        <w:rPr>
          <w:rFonts w:ascii="Times New Roman" w:hAnsi="Times New Roman"/>
          <w:sz w:val="24"/>
        </w:rPr>
      </w:pPr>
      <w:r w:rsidRPr="00B92FA1">
        <w:rPr>
          <w:rFonts w:ascii="Times New Roman" w:hAnsi="Times New Roman"/>
          <w:sz w:val="24"/>
        </w:rPr>
        <w:t>Refuelling facilities</w:t>
      </w:r>
    </w:p>
    <w:p w:rsidR="007C64B4" w:rsidRPr="002B6AA7" w:rsidRDefault="007C64B4" w:rsidP="007C64B4">
      <w:pPr>
        <w:pStyle w:val="Paragraphedeliste"/>
        <w:rPr>
          <w:rFonts w:ascii="Times New Roman" w:hAnsi="Times New Roman"/>
          <w:sz w:val="20"/>
        </w:rPr>
      </w:pPr>
    </w:p>
    <w:p w:rsidR="00A51E8E" w:rsidRDefault="007C64B4" w:rsidP="002B6AA7">
      <w:pPr>
        <w:pStyle w:val="Paragraphedeliste"/>
        <w:spacing w:line="240" w:lineRule="auto"/>
        <w:ind w:left="0"/>
        <w:jc w:val="both"/>
      </w:pPr>
      <w:r>
        <w:rPr>
          <w:rFonts w:ascii="Times New Roman" w:hAnsi="Times New Roman"/>
          <w:sz w:val="24"/>
        </w:rPr>
        <w:t>The following table shows how many countries provided answers for each type of service facility. It shows that most countries regulate passenger stations, but few countries consider regulating refuelling facilities yet:</w:t>
      </w:r>
      <w:r w:rsidR="00A51E8E" w:rsidRPr="009B4A9D">
        <w:rPr>
          <w:lang w:val="en-US"/>
        </w:rPr>
        <w:br w:type="page"/>
      </w:r>
    </w:p>
    <w:tbl>
      <w:tblPr>
        <w:tblStyle w:val="Grilledutableau"/>
        <w:tblW w:w="5147" w:type="dxa"/>
        <w:jc w:val="center"/>
        <w:tblLook w:val="04A0" w:firstRow="1" w:lastRow="0" w:firstColumn="1" w:lastColumn="0" w:noHBand="0" w:noVBand="1"/>
      </w:tblPr>
      <w:tblGrid>
        <w:gridCol w:w="3402"/>
        <w:gridCol w:w="1745"/>
      </w:tblGrid>
      <w:tr w:rsidR="007C64B4" w:rsidTr="007C64B4">
        <w:trPr>
          <w:trHeight w:val="315"/>
          <w:jc w:val="center"/>
        </w:trPr>
        <w:tc>
          <w:tcPr>
            <w:tcW w:w="3402" w:type="dxa"/>
            <w:noWrap/>
            <w:hideMark/>
          </w:tcPr>
          <w:p w:rsidR="007C64B4" w:rsidRPr="002169A4" w:rsidRDefault="007C64B4" w:rsidP="002169A4">
            <w:pPr>
              <w:jc w:val="center"/>
              <w:rPr>
                <w:color w:val="000000"/>
                <w:sz w:val="22"/>
                <w:szCs w:val="22"/>
                <w:lang w:val="en-GB"/>
              </w:rPr>
            </w:pPr>
            <w:r w:rsidRPr="002169A4">
              <w:rPr>
                <w:color w:val="000000"/>
                <w:sz w:val="22"/>
                <w:szCs w:val="22"/>
                <w:lang w:val="en-GB"/>
              </w:rPr>
              <w:lastRenderedPageBreak/>
              <w:t>Type of Service facility</w:t>
            </w:r>
          </w:p>
        </w:tc>
        <w:tc>
          <w:tcPr>
            <w:tcW w:w="1745" w:type="dxa"/>
            <w:noWrap/>
            <w:hideMark/>
          </w:tcPr>
          <w:p w:rsidR="007C64B4" w:rsidRPr="002169A4" w:rsidRDefault="007C64B4" w:rsidP="002169A4">
            <w:pPr>
              <w:jc w:val="center"/>
              <w:rPr>
                <w:color w:val="000000"/>
                <w:sz w:val="22"/>
                <w:szCs w:val="22"/>
                <w:lang w:val="en-GB"/>
              </w:rPr>
            </w:pPr>
            <w:r w:rsidRPr="002169A4">
              <w:rPr>
                <w:color w:val="000000"/>
                <w:sz w:val="22"/>
                <w:szCs w:val="22"/>
                <w:lang w:val="en-GB"/>
              </w:rPr>
              <w:t>No of Answers</w:t>
            </w:r>
          </w:p>
        </w:tc>
      </w:tr>
      <w:tr w:rsidR="007C64B4" w:rsidTr="007C64B4">
        <w:trPr>
          <w:trHeight w:val="315"/>
          <w:jc w:val="center"/>
        </w:trPr>
        <w:tc>
          <w:tcPr>
            <w:tcW w:w="3402" w:type="dxa"/>
            <w:noWrap/>
            <w:hideMark/>
          </w:tcPr>
          <w:p w:rsidR="007C64B4" w:rsidRPr="006051F7" w:rsidRDefault="007C64B4" w:rsidP="007C64B4">
            <w:pPr>
              <w:rPr>
                <w:color w:val="000000"/>
                <w:sz w:val="22"/>
                <w:lang w:val="en-US"/>
              </w:rPr>
            </w:pPr>
            <w:r w:rsidRPr="00E20A3B">
              <w:rPr>
                <w:color w:val="000000"/>
                <w:sz w:val="22"/>
                <w:szCs w:val="22"/>
                <w:lang w:val="en-GB"/>
              </w:rPr>
              <w:t>Passenger stations</w:t>
            </w:r>
          </w:p>
        </w:tc>
        <w:tc>
          <w:tcPr>
            <w:tcW w:w="1745" w:type="dxa"/>
            <w:noWrap/>
            <w:hideMark/>
          </w:tcPr>
          <w:p w:rsidR="007C64B4" w:rsidRPr="006051F7" w:rsidRDefault="007C64B4" w:rsidP="007C64B4">
            <w:pPr>
              <w:jc w:val="center"/>
              <w:rPr>
                <w:color w:val="000000"/>
                <w:sz w:val="22"/>
                <w:lang w:val="en-US"/>
              </w:rPr>
            </w:pPr>
            <w:r w:rsidRPr="006051F7">
              <w:rPr>
                <w:color w:val="000000"/>
                <w:sz w:val="22"/>
                <w:lang w:val="en-US"/>
              </w:rPr>
              <w:t>18</w:t>
            </w:r>
          </w:p>
        </w:tc>
      </w:tr>
      <w:tr w:rsidR="007C64B4" w:rsidTr="007C64B4">
        <w:trPr>
          <w:trHeight w:val="315"/>
          <w:jc w:val="center"/>
        </w:trPr>
        <w:tc>
          <w:tcPr>
            <w:tcW w:w="3402" w:type="dxa"/>
            <w:noWrap/>
            <w:hideMark/>
          </w:tcPr>
          <w:p w:rsidR="007C64B4" w:rsidRPr="006051F7" w:rsidRDefault="007C64B4" w:rsidP="007C64B4">
            <w:pPr>
              <w:rPr>
                <w:color w:val="000000"/>
                <w:sz w:val="22"/>
                <w:lang w:val="en-US"/>
              </w:rPr>
            </w:pPr>
            <w:r w:rsidRPr="00E20A3B">
              <w:rPr>
                <w:color w:val="000000"/>
                <w:sz w:val="22"/>
                <w:szCs w:val="22"/>
                <w:lang w:val="en-GB"/>
              </w:rPr>
              <w:t>Intermodal freight terminals</w:t>
            </w:r>
          </w:p>
        </w:tc>
        <w:tc>
          <w:tcPr>
            <w:tcW w:w="1745" w:type="dxa"/>
            <w:noWrap/>
            <w:hideMark/>
          </w:tcPr>
          <w:p w:rsidR="007C64B4" w:rsidRPr="00E20A3B" w:rsidRDefault="007C64B4" w:rsidP="007C64B4">
            <w:pPr>
              <w:jc w:val="center"/>
              <w:rPr>
                <w:color w:val="000000"/>
                <w:sz w:val="22"/>
              </w:rPr>
            </w:pPr>
            <w:r w:rsidRPr="006051F7">
              <w:rPr>
                <w:color w:val="000000"/>
                <w:sz w:val="22"/>
                <w:lang w:val="en-US"/>
              </w:rPr>
              <w:t>1</w:t>
            </w:r>
            <w:r w:rsidR="00E91B37">
              <w:rPr>
                <w:color w:val="000000"/>
                <w:sz w:val="22"/>
                <w:szCs w:val="22"/>
              </w:rPr>
              <w:t>4</w:t>
            </w:r>
          </w:p>
        </w:tc>
      </w:tr>
      <w:tr w:rsidR="007C64B4" w:rsidTr="007C64B4">
        <w:trPr>
          <w:trHeight w:val="330"/>
          <w:jc w:val="center"/>
        </w:trPr>
        <w:tc>
          <w:tcPr>
            <w:tcW w:w="3402" w:type="dxa"/>
            <w:noWrap/>
            <w:hideMark/>
          </w:tcPr>
          <w:p w:rsidR="007C64B4" w:rsidRPr="00E20A3B" w:rsidRDefault="007C64B4" w:rsidP="007C64B4">
            <w:pPr>
              <w:rPr>
                <w:color w:val="000000"/>
                <w:sz w:val="22"/>
                <w:lang w:val="en-US"/>
              </w:rPr>
            </w:pPr>
            <w:r w:rsidRPr="00E20A3B">
              <w:rPr>
                <w:color w:val="000000"/>
                <w:sz w:val="22"/>
                <w:szCs w:val="22"/>
                <w:lang w:val="en-GB"/>
              </w:rPr>
              <w:t>Marshalling yards with gravity hills</w:t>
            </w:r>
          </w:p>
        </w:tc>
        <w:tc>
          <w:tcPr>
            <w:tcW w:w="1745" w:type="dxa"/>
            <w:noWrap/>
            <w:hideMark/>
          </w:tcPr>
          <w:p w:rsidR="007C64B4" w:rsidRPr="00E20A3B" w:rsidRDefault="007C64B4" w:rsidP="00E91B37">
            <w:pPr>
              <w:jc w:val="center"/>
              <w:rPr>
                <w:color w:val="000000"/>
                <w:sz w:val="22"/>
              </w:rPr>
            </w:pPr>
            <w:r w:rsidRPr="00E20A3B">
              <w:rPr>
                <w:color w:val="000000"/>
                <w:sz w:val="22"/>
                <w:szCs w:val="22"/>
              </w:rPr>
              <w:t>1</w:t>
            </w:r>
            <w:r w:rsidR="00E91B37">
              <w:rPr>
                <w:color w:val="000000"/>
                <w:sz w:val="22"/>
                <w:szCs w:val="22"/>
              </w:rPr>
              <w:t>5</w:t>
            </w:r>
          </w:p>
        </w:tc>
      </w:tr>
      <w:tr w:rsidR="007C64B4" w:rsidTr="007C64B4">
        <w:trPr>
          <w:trHeight w:val="330"/>
          <w:jc w:val="center"/>
        </w:trPr>
        <w:tc>
          <w:tcPr>
            <w:tcW w:w="3402" w:type="dxa"/>
            <w:noWrap/>
            <w:hideMark/>
          </w:tcPr>
          <w:p w:rsidR="007C64B4" w:rsidRPr="00E20A3B" w:rsidRDefault="007C64B4" w:rsidP="007C64B4">
            <w:pPr>
              <w:rPr>
                <w:color w:val="000000"/>
                <w:sz w:val="22"/>
              </w:rPr>
            </w:pPr>
            <w:r w:rsidRPr="00E20A3B">
              <w:rPr>
                <w:color w:val="000000"/>
                <w:sz w:val="22"/>
                <w:szCs w:val="22"/>
                <w:lang w:val="en-GB"/>
              </w:rPr>
              <w:t>Maintenance facilities</w:t>
            </w:r>
          </w:p>
        </w:tc>
        <w:tc>
          <w:tcPr>
            <w:tcW w:w="1745" w:type="dxa"/>
            <w:noWrap/>
            <w:hideMark/>
          </w:tcPr>
          <w:p w:rsidR="007C64B4" w:rsidRPr="00E20A3B" w:rsidRDefault="007C64B4" w:rsidP="007C64B4">
            <w:pPr>
              <w:jc w:val="center"/>
              <w:rPr>
                <w:color w:val="000000"/>
                <w:sz w:val="22"/>
              </w:rPr>
            </w:pPr>
            <w:r w:rsidRPr="00E20A3B">
              <w:rPr>
                <w:color w:val="000000"/>
                <w:sz w:val="22"/>
                <w:szCs w:val="22"/>
              </w:rPr>
              <w:t>1</w:t>
            </w:r>
            <w:r w:rsidR="00E91B37">
              <w:rPr>
                <w:color w:val="000000"/>
                <w:sz w:val="22"/>
                <w:szCs w:val="22"/>
              </w:rPr>
              <w:t>6</w:t>
            </w:r>
          </w:p>
        </w:tc>
      </w:tr>
      <w:tr w:rsidR="007C64B4" w:rsidTr="007C64B4">
        <w:trPr>
          <w:trHeight w:val="315"/>
          <w:jc w:val="center"/>
        </w:trPr>
        <w:tc>
          <w:tcPr>
            <w:tcW w:w="3402" w:type="dxa"/>
            <w:noWrap/>
            <w:hideMark/>
          </w:tcPr>
          <w:p w:rsidR="007C64B4" w:rsidRPr="00E20A3B" w:rsidRDefault="007C64B4" w:rsidP="007C64B4">
            <w:pPr>
              <w:rPr>
                <w:color w:val="000000"/>
                <w:sz w:val="22"/>
              </w:rPr>
            </w:pPr>
            <w:r w:rsidRPr="00E20A3B">
              <w:rPr>
                <w:color w:val="000000"/>
                <w:sz w:val="22"/>
                <w:szCs w:val="22"/>
                <w:lang w:val="en-GB"/>
              </w:rPr>
              <w:t>Refuelling facilities</w:t>
            </w:r>
          </w:p>
        </w:tc>
        <w:tc>
          <w:tcPr>
            <w:tcW w:w="1745" w:type="dxa"/>
            <w:noWrap/>
            <w:hideMark/>
          </w:tcPr>
          <w:p w:rsidR="007C64B4" w:rsidRPr="00E20A3B" w:rsidRDefault="00E91B37" w:rsidP="007C64B4">
            <w:pPr>
              <w:jc w:val="center"/>
              <w:rPr>
                <w:color w:val="000000"/>
                <w:sz w:val="22"/>
              </w:rPr>
            </w:pPr>
            <w:r>
              <w:rPr>
                <w:color w:val="000000"/>
                <w:sz w:val="22"/>
                <w:szCs w:val="22"/>
              </w:rPr>
              <w:t>14</w:t>
            </w:r>
          </w:p>
        </w:tc>
      </w:tr>
    </w:tbl>
    <w:p w:rsidR="007C64B4" w:rsidRPr="005214E1" w:rsidRDefault="007C64B4" w:rsidP="002B6AA7">
      <w:pPr>
        <w:spacing w:after="120"/>
        <w:jc w:val="center"/>
        <w:rPr>
          <w:b/>
          <w:color w:val="000000"/>
          <w:sz w:val="20"/>
          <w:lang w:val="en-GB"/>
        </w:rPr>
      </w:pPr>
      <w:r w:rsidRPr="007C64B4">
        <w:rPr>
          <w:sz w:val="20"/>
          <w:lang w:val="en-GB"/>
        </w:rPr>
        <w:t xml:space="preserve">Table </w:t>
      </w:r>
      <w:r w:rsidRPr="007C64B4">
        <w:rPr>
          <w:sz w:val="20"/>
          <w:lang w:val="en-GB"/>
        </w:rPr>
        <w:fldChar w:fldCharType="begin"/>
      </w:r>
      <w:r w:rsidRPr="007C64B4">
        <w:rPr>
          <w:sz w:val="20"/>
          <w:lang w:val="en-GB"/>
        </w:rPr>
        <w:instrText xml:space="preserve"> SEQ Table \* ARABIC </w:instrText>
      </w:r>
      <w:r w:rsidRPr="007C64B4">
        <w:rPr>
          <w:sz w:val="20"/>
          <w:lang w:val="en-GB"/>
        </w:rPr>
        <w:fldChar w:fldCharType="separate"/>
      </w:r>
      <w:r w:rsidR="0099201F">
        <w:rPr>
          <w:noProof/>
          <w:sz w:val="20"/>
          <w:lang w:val="en-GB"/>
        </w:rPr>
        <w:t>4</w:t>
      </w:r>
      <w:r w:rsidRPr="007C64B4">
        <w:rPr>
          <w:sz w:val="20"/>
          <w:lang w:val="en-GB"/>
        </w:rPr>
        <w:fldChar w:fldCharType="end"/>
      </w:r>
      <w:r w:rsidRPr="003E43B9">
        <w:rPr>
          <w:sz w:val="20"/>
          <w:lang w:val="en-GB"/>
        </w:rPr>
        <w:t>: Answers from the countries</w:t>
      </w:r>
      <w:r w:rsidRPr="00A96026">
        <w:rPr>
          <w:sz w:val="20"/>
          <w:lang w:val="en-GB"/>
        </w:rPr>
        <w:t xml:space="preserve"> for </w:t>
      </w:r>
      <w:r w:rsidRPr="003E43B9">
        <w:rPr>
          <w:sz w:val="20"/>
          <w:lang w:val="en-GB"/>
        </w:rPr>
        <w:t xml:space="preserve">the </w:t>
      </w:r>
      <w:r w:rsidRPr="00A96026">
        <w:rPr>
          <w:sz w:val="20"/>
          <w:lang w:val="en-GB"/>
        </w:rPr>
        <w:t xml:space="preserve">different service </w:t>
      </w:r>
      <w:r w:rsidRPr="00334AA3">
        <w:rPr>
          <w:sz w:val="20"/>
          <w:lang w:val="en-GB"/>
        </w:rPr>
        <w:t>facilities</w:t>
      </w:r>
    </w:p>
    <w:p w:rsidR="007C64B4" w:rsidRPr="00B92FA1" w:rsidRDefault="007C64B4" w:rsidP="007C64B4">
      <w:pPr>
        <w:jc w:val="both"/>
        <w:rPr>
          <w:lang w:val="en-GB"/>
        </w:rPr>
      </w:pPr>
      <w:r w:rsidRPr="00E222F1">
        <w:rPr>
          <w:lang w:val="en-GB"/>
        </w:rPr>
        <w:t xml:space="preserve">Within the determination of charges of service facilities operational </w:t>
      </w:r>
      <w:r>
        <w:rPr>
          <w:color w:val="000000"/>
          <w:lang w:val="en-GB"/>
        </w:rPr>
        <w:t>(</w:t>
      </w:r>
      <w:r w:rsidRPr="00B92FA1">
        <w:rPr>
          <w:lang w:val="en-GB"/>
        </w:rPr>
        <w:t>OPEX</w:t>
      </w:r>
      <w:r>
        <w:rPr>
          <w:lang w:val="en-GB"/>
        </w:rPr>
        <w:t>)</w:t>
      </w:r>
      <w:r w:rsidRPr="00B92FA1">
        <w:rPr>
          <w:lang w:val="en-GB"/>
        </w:rPr>
        <w:t xml:space="preserve"> </w:t>
      </w:r>
      <w:r w:rsidRPr="00E222F1">
        <w:rPr>
          <w:lang w:val="en-GB"/>
        </w:rPr>
        <w:t>and capital expenditure</w:t>
      </w:r>
      <w:r>
        <w:rPr>
          <w:lang w:val="en-GB"/>
        </w:rPr>
        <w:t>s</w:t>
      </w:r>
      <w:r w:rsidRPr="00E222F1">
        <w:rPr>
          <w:lang w:val="en-GB"/>
        </w:rPr>
        <w:t xml:space="preserve"> </w:t>
      </w:r>
      <w:r>
        <w:rPr>
          <w:lang w:val="en-GB"/>
        </w:rPr>
        <w:t>(</w:t>
      </w:r>
      <w:r w:rsidRPr="00281DE5">
        <w:rPr>
          <w:lang w:val="en-GB"/>
        </w:rPr>
        <w:t>CAPEX</w:t>
      </w:r>
      <w:r>
        <w:rPr>
          <w:lang w:val="en-GB"/>
        </w:rPr>
        <w:t>)</w:t>
      </w:r>
      <w:r w:rsidRPr="00281DE5">
        <w:rPr>
          <w:lang w:val="en-GB"/>
        </w:rPr>
        <w:t xml:space="preserve"> </w:t>
      </w:r>
      <w:r w:rsidRPr="00E222F1">
        <w:rPr>
          <w:lang w:val="en-GB"/>
        </w:rPr>
        <w:t xml:space="preserve">are the core cost categories to be considered. These cost categories form the basis for the assessment of the charges in each service facility. </w:t>
      </w:r>
      <w:r w:rsidRPr="00CD244B">
        <w:rPr>
          <w:color w:val="000000"/>
          <w:lang w:val="en-GB"/>
        </w:rPr>
        <w:t xml:space="preserve">For the purpose </w:t>
      </w:r>
      <w:r>
        <w:rPr>
          <w:color w:val="000000"/>
          <w:lang w:val="en-GB"/>
        </w:rPr>
        <w:t>of</w:t>
      </w:r>
      <w:r w:rsidRPr="000B29D9">
        <w:rPr>
          <w:color w:val="000000"/>
          <w:lang w:val="en-GB"/>
        </w:rPr>
        <w:t xml:space="preserve"> </w:t>
      </w:r>
      <w:r>
        <w:rPr>
          <w:color w:val="000000"/>
          <w:lang w:val="en-GB"/>
        </w:rPr>
        <w:t>following</w:t>
      </w:r>
      <w:r w:rsidRPr="000B29D9">
        <w:rPr>
          <w:color w:val="000000"/>
          <w:lang w:val="en-GB"/>
        </w:rPr>
        <w:t xml:space="preserve"> development</w:t>
      </w:r>
      <w:r>
        <w:rPr>
          <w:color w:val="000000"/>
          <w:lang w:val="en-GB"/>
        </w:rPr>
        <w:t>s</w:t>
      </w:r>
      <w:r w:rsidRPr="000B29D9">
        <w:rPr>
          <w:color w:val="000000"/>
          <w:lang w:val="en-GB"/>
        </w:rPr>
        <w:t xml:space="preserve"> on charges</w:t>
      </w:r>
      <w:r>
        <w:rPr>
          <w:color w:val="000000"/>
          <w:lang w:val="en-GB"/>
        </w:rPr>
        <w:t xml:space="preserve"> for service facilities, operational expenditures </w:t>
      </w:r>
      <w:r>
        <w:rPr>
          <w:lang w:val="en-GB"/>
        </w:rPr>
        <w:t>are</w:t>
      </w:r>
      <w:r w:rsidRPr="00B92FA1">
        <w:rPr>
          <w:lang w:val="en-GB"/>
        </w:rPr>
        <w:t xml:space="preserve"> understood </w:t>
      </w:r>
      <w:r>
        <w:rPr>
          <w:lang w:val="en-GB"/>
        </w:rPr>
        <w:t>i</w:t>
      </w:r>
      <w:r w:rsidRPr="00B95153">
        <w:rPr>
          <w:lang w:val="en-GB"/>
        </w:rPr>
        <w:t xml:space="preserve">n national regulation </w:t>
      </w:r>
      <w:r w:rsidRPr="00B92FA1">
        <w:rPr>
          <w:lang w:val="en-GB"/>
        </w:rPr>
        <w:t>as all operati</w:t>
      </w:r>
      <w:r>
        <w:rPr>
          <w:lang w:val="en-GB"/>
        </w:rPr>
        <w:t>ng</w:t>
      </w:r>
      <w:r w:rsidRPr="00B92FA1">
        <w:rPr>
          <w:lang w:val="en-GB"/>
        </w:rPr>
        <w:t xml:space="preserve"> costs in Austria, Croatia, France, </w:t>
      </w:r>
      <w:r>
        <w:rPr>
          <w:lang w:val="en-GB"/>
        </w:rPr>
        <w:t xml:space="preserve">Germany, </w:t>
      </w:r>
      <w:r w:rsidRPr="00B92FA1">
        <w:rPr>
          <w:lang w:val="en-GB"/>
        </w:rPr>
        <w:t xml:space="preserve">Italy, Netherlands and Spain and cover all on-going expenditures. While there is a common understanding and use of OPEX, </w:t>
      </w:r>
      <w:r>
        <w:rPr>
          <w:lang w:val="en-GB"/>
        </w:rPr>
        <w:t>capital expenditures are</w:t>
      </w:r>
      <w:r w:rsidRPr="00281DE5">
        <w:rPr>
          <w:lang w:val="en-GB"/>
        </w:rPr>
        <w:t xml:space="preserve"> understood quite differently: Amortization, depreciation and cost of capital are part of the CAPEX in </w:t>
      </w:r>
      <w:r>
        <w:rPr>
          <w:lang w:val="en-GB"/>
        </w:rPr>
        <w:t>most IRG-Rail members</w:t>
      </w:r>
      <w:r w:rsidRPr="00281DE5">
        <w:rPr>
          <w:lang w:val="en-GB"/>
        </w:rPr>
        <w:t xml:space="preserve">. In one </w:t>
      </w:r>
      <w:r>
        <w:rPr>
          <w:lang w:val="en-GB"/>
        </w:rPr>
        <w:t>country</w:t>
      </w:r>
      <w:r w:rsidRPr="00281DE5">
        <w:rPr>
          <w:lang w:val="en-GB"/>
        </w:rPr>
        <w:t xml:space="preserve"> insurance </w:t>
      </w:r>
      <w:r>
        <w:rPr>
          <w:lang w:val="en-GB"/>
        </w:rPr>
        <w:t>is</w:t>
      </w:r>
      <w:r w:rsidRPr="00281DE5">
        <w:rPr>
          <w:lang w:val="en-GB"/>
        </w:rPr>
        <w:t xml:space="preserve"> </w:t>
      </w:r>
      <w:r>
        <w:rPr>
          <w:lang w:val="en-GB"/>
        </w:rPr>
        <w:t xml:space="preserve">also </w:t>
      </w:r>
      <w:r w:rsidRPr="00281DE5">
        <w:rPr>
          <w:lang w:val="en-GB"/>
        </w:rPr>
        <w:t>included in the CAPEX</w:t>
      </w:r>
      <w:r w:rsidRPr="00B92FA1">
        <w:rPr>
          <w:lang w:val="en-GB"/>
        </w:rPr>
        <w:t>. Amortization is understood as paying off debts or spreading an intangible asset's cost over that asset's useful life. I</w:t>
      </w:r>
      <w:r>
        <w:rPr>
          <w:lang w:val="en-GB"/>
        </w:rPr>
        <w:t>t</w:t>
      </w:r>
      <w:r w:rsidRPr="00B92FA1">
        <w:rPr>
          <w:lang w:val="en-GB"/>
        </w:rPr>
        <w:t xml:space="preserve"> is similar to depreciation. Depreciation refers</w:t>
      </w:r>
      <w:r>
        <w:rPr>
          <w:lang w:val="en-GB"/>
        </w:rPr>
        <w:t xml:space="preserve"> to</w:t>
      </w:r>
      <w:r w:rsidRPr="00B92FA1">
        <w:rPr>
          <w:lang w:val="en-GB"/>
        </w:rPr>
        <w:t xml:space="preserve"> a reduction in the value of a</w:t>
      </w:r>
      <w:r>
        <w:rPr>
          <w:lang w:val="en-GB"/>
        </w:rPr>
        <w:t xml:space="preserve"> tangible</w:t>
      </w:r>
      <w:r w:rsidRPr="00B92FA1">
        <w:rPr>
          <w:lang w:val="en-GB"/>
        </w:rPr>
        <w:t xml:space="preserve"> asset over time, due in particular to wear and tear over time.</w:t>
      </w:r>
      <w:r>
        <w:rPr>
          <w:lang w:val="en-US"/>
        </w:rPr>
        <w:t xml:space="preserve"> </w:t>
      </w:r>
      <w:r w:rsidRPr="00B92FA1">
        <w:rPr>
          <w:lang w:val="en-GB"/>
        </w:rPr>
        <w:t xml:space="preserve">On the question of reasonable profit, some member states are using a </w:t>
      </w:r>
      <w:r>
        <w:rPr>
          <w:lang w:val="en-GB"/>
        </w:rPr>
        <w:t>weighted average cost of capital (</w:t>
      </w:r>
      <w:r w:rsidRPr="00B92FA1">
        <w:rPr>
          <w:lang w:val="en-GB"/>
        </w:rPr>
        <w:t>WACC</w:t>
      </w:r>
      <w:r>
        <w:rPr>
          <w:lang w:val="en-GB"/>
        </w:rPr>
        <w:t>)</w:t>
      </w:r>
      <w:r w:rsidRPr="00B92FA1">
        <w:rPr>
          <w:lang w:val="en-GB"/>
        </w:rPr>
        <w:t xml:space="preserve"> approach</w:t>
      </w:r>
      <w:r>
        <w:rPr>
          <w:lang w:val="en-GB"/>
        </w:rPr>
        <w:t>, e.g.</w:t>
      </w:r>
      <w:r w:rsidRPr="00B92FA1">
        <w:rPr>
          <w:lang w:val="en-GB"/>
        </w:rPr>
        <w:t xml:space="preserve"> France</w:t>
      </w:r>
      <w:r>
        <w:rPr>
          <w:rStyle w:val="Appelnotedebasdep"/>
          <w:lang w:val="en-GB"/>
        </w:rPr>
        <w:footnoteReference w:id="23"/>
      </w:r>
      <w:r w:rsidR="001A0E0C">
        <w:rPr>
          <w:lang w:val="en-GB"/>
        </w:rPr>
        <w:t>, Italy</w:t>
      </w:r>
      <w:r w:rsidRPr="00B92FA1">
        <w:rPr>
          <w:lang w:val="en-GB"/>
        </w:rPr>
        <w:t xml:space="preserve"> and Austria</w:t>
      </w:r>
      <w:r>
        <w:rPr>
          <w:rStyle w:val="Appelnotedebasdep"/>
          <w:lang w:val="en-GB"/>
        </w:rPr>
        <w:footnoteReference w:id="24"/>
      </w:r>
      <w:r w:rsidRPr="00B92FA1">
        <w:rPr>
          <w:lang w:val="en-GB"/>
        </w:rPr>
        <w:t xml:space="preserve">. </w:t>
      </w:r>
      <w:r>
        <w:rPr>
          <w:lang w:val="en-GB"/>
        </w:rPr>
        <w:t>Germany includes</w:t>
      </w:r>
      <w:r w:rsidRPr="00B92FA1">
        <w:rPr>
          <w:lang w:val="en-GB"/>
        </w:rPr>
        <w:t xml:space="preserve"> a reasonable profit</w:t>
      </w:r>
      <w:r>
        <w:rPr>
          <w:lang w:val="en-GB"/>
        </w:rPr>
        <w:t xml:space="preserve"> on equity and determines cost of debt separately.</w:t>
      </w:r>
      <w:r w:rsidRPr="00B92FA1">
        <w:rPr>
          <w:lang w:val="en-GB"/>
        </w:rPr>
        <w:t xml:space="preserve"> Some countries do not include a </w:t>
      </w:r>
      <w:r>
        <w:rPr>
          <w:lang w:val="en-GB"/>
        </w:rPr>
        <w:t xml:space="preserve">method for determining </w:t>
      </w:r>
      <w:r w:rsidRPr="00B92FA1">
        <w:rPr>
          <w:lang w:val="en-GB"/>
        </w:rPr>
        <w:t xml:space="preserve">reasonable profit </w:t>
      </w:r>
      <w:r>
        <w:rPr>
          <w:lang w:val="en-GB"/>
        </w:rPr>
        <w:t xml:space="preserve">in their regulation </w:t>
      </w:r>
      <w:r w:rsidRPr="00B92FA1">
        <w:rPr>
          <w:lang w:val="en-GB"/>
        </w:rPr>
        <w:t xml:space="preserve">yet or are </w:t>
      </w:r>
      <w:r>
        <w:rPr>
          <w:lang w:val="en-GB"/>
        </w:rPr>
        <w:t xml:space="preserve">intending to implement such </w:t>
      </w:r>
      <w:r w:rsidRPr="00B92FA1">
        <w:rPr>
          <w:lang w:val="en-GB"/>
        </w:rPr>
        <w:t xml:space="preserve">a </w:t>
      </w:r>
      <w:r>
        <w:rPr>
          <w:lang w:val="en-GB"/>
        </w:rPr>
        <w:t>method</w:t>
      </w:r>
      <w:r w:rsidRPr="00B92FA1">
        <w:rPr>
          <w:lang w:val="en-GB"/>
        </w:rPr>
        <w:t>.</w:t>
      </w:r>
      <w:r>
        <w:rPr>
          <w:lang w:val="en-GB"/>
        </w:rPr>
        <w:t xml:space="preserve"> Finally, for parts of or all service facilities, </w:t>
      </w:r>
      <w:r w:rsidRPr="00B92FA1">
        <w:rPr>
          <w:lang w:val="en-GB"/>
        </w:rPr>
        <w:t>an efficiency target is used</w:t>
      </w:r>
      <w:r>
        <w:rPr>
          <w:lang w:val="en-GB"/>
        </w:rPr>
        <w:t xml:space="preserve"> for determining the costs i</w:t>
      </w:r>
      <w:r w:rsidRPr="00B92FA1">
        <w:rPr>
          <w:lang w:val="en-GB"/>
        </w:rPr>
        <w:t xml:space="preserve">n a number of member states </w:t>
      </w:r>
      <w:r>
        <w:rPr>
          <w:lang w:val="en-GB"/>
        </w:rPr>
        <w:t xml:space="preserve">as for instance </w:t>
      </w:r>
      <w:r w:rsidRPr="00B92FA1">
        <w:rPr>
          <w:lang w:val="en-GB"/>
        </w:rPr>
        <w:t>in Bulgaria.</w:t>
      </w:r>
    </w:p>
    <w:p w:rsidR="007C64B4" w:rsidRPr="002B6AA7" w:rsidRDefault="007C64B4" w:rsidP="007C64B4">
      <w:pPr>
        <w:rPr>
          <w:b/>
          <w:color w:val="000000"/>
          <w:sz w:val="18"/>
          <w:lang w:val="en-GB"/>
        </w:rPr>
      </w:pPr>
    </w:p>
    <w:p w:rsidR="007C64B4" w:rsidRDefault="007C64B4" w:rsidP="007C64B4">
      <w:pPr>
        <w:jc w:val="both"/>
        <w:rPr>
          <w:lang w:val="en-US"/>
        </w:rPr>
      </w:pPr>
      <w:r w:rsidRPr="007A5538">
        <w:rPr>
          <w:lang w:val="en-US"/>
        </w:rPr>
        <w:t>Twel</w:t>
      </w:r>
      <w:r>
        <w:rPr>
          <w:lang w:val="en-US"/>
        </w:rPr>
        <w:t>v</w:t>
      </w:r>
      <w:r w:rsidRPr="007A5538">
        <w:rPr>
          <w:lang w:val="en-US"/>
        </w:rPr>
        <w:t xml:space="preserve">e countries answered that the </w:t>
      </w:r>
      <w:r>
        <w:rPr>
          <w:lang w:val="en-US"/>
        </w:rPr>
        <w:t>service facility</w:t>
      </w:r>
      <w:r w:rsidRPr="007A5538">
        <w:rPr>
          <w:lang w:val="en-US"/>
        </w:rPr>
        <w:t xml:space="preserve"> sector receives subsidies. </w:t>
      </w:r>
      <w:r>
        <w:rPr>
          <w:lang w:val="en-US"/>
        </w:rPr>
        <w:t xml:space="preserve">In the majority of the countries the service facility operator for passenger stations receives subsidies. In some countries intermodal freight terminals (France), maintenance facilities (France) or </w:t>
      </w:r>
      <w:proofErr w:type="spellStart"/>
      <w:r>
        <w:rPr>
          <w:lang w:val="en-US"/>
        </w:rPr>
        <w:t>marshalling</w:t>
      </w:r>
      <w:proofErr w:type="spellEnd"/>
      <w:r>
        <w:rPr>
          <w:lang w:val="en-US"/>
        </w:rPr>
        <w:t xml:space="preserve"> yards (Austria) receive public subsidies. The subsidies are taken into account when computing the charges. In the case of investment subsidies, they lower the level of capital used in the computation of charges which leads to a reduction of charges. In some countries, the subsidies cover the costs that are not recovered by charges.</w:t>
      </w:r>
    </w:p>
    <w:p w:rsidR="007C64B4" w:rsidRPr="002B6AA7" w:rsidRDefault="007C64B4" w:rsidP="007C64B4">
      <w:pPr>
        <w:jc w:val="both"/>
        <w:rPr>
          <w:sz w:val="20"/>
          <w:lang w:val="en-US"/>
        </w:rPr>
      </w:pPr>
    </w:p>
    <w:p w:rsidR="007C64B4" w:rsidRDefault="007C64B4" w:rsidP="007C64B4">
      <w:pPr>
        <w:jc w:val="both"/>
        <w:rPr>
          <w:lang w:val="en-US"/>
        </w:rPr>
      </w:pPr>
      <w:r w:rsidRPr="005263CA">
        <w:rPr>
          <w:lang w:val="en-US"/>
        </w:rPr>
        <w:t>In principle no country uses indexation to determine charges</w:t>
      </w:r>
      <w:r>
        <w:rPr>
          <w:lang w:val="en-US"/>
        </w:rPr>
        <w:t>. However there is a contractual requirement for indexation in the UK for station charges. For instance, the station long-term charge (which en</w:t>
      </w:r>
      <w:r w:rsidRPr="006D434E">
        <w:rPr>
          <w:lang w:val="en-US"/>
        </w:rPr>
        <w:t xml:space="preserve">ables the </w:t>
      </w:r>
      <w:r>
        <w:rPr>
          <w:lang w:val="en-US"/>
        </w:rPr>
        <w:t>infrastructure manager</w:t>
      </w:r>
      <w:r w:rsidRPr="006D434E">
        <w:rPr>
          <w:lang w:val="en-US"/>
        </w:rPr>
        <w:t xml:space="preserve"> to recover the efficient maint</w:t>
      </w:r>
      <w:r>
        <w:rPr>
          <w:lang w:val="en-US"/>
        </w:rPr>
        <w:t xml:space="preserve">enance, renewal and repair </w:t>
      </w:r>
      <w:r w:rsidRPr="006D434E">
        <w:rPr>
          <w:lang w:val="en-US"/>
        </w:rPr>
        <w:t>expenditure associated with stations</w:t>
      </w:r>
      <w:r>
        <w:rPr>
          <w:lang w:val="en-US"/>
        </w:rPr>
        <w:t xml:space="preserve">) is </w:t>
      </w:r>
      <w:r w:rsidRPr="00895A79">
        <w:rPr>
          <w:lang w:val="en-US"/>
        </w:rPr>
        <w:t>fixed for</w:t>
      </w:r>
      <w:r>
        <w:rPr>
          <w:lang w:val="en-US"/>
        </w:rPr>
        <w:t xml:space="preserve"> the control period. It is </w:t>
      </w:r>
      <w:r w:rsidRPr="00895A79">
        <w:rPr>
          <w:lang w:val="en-US"/>
        </w:rPr>
        <w:t>levied on a constant annual basis and indexed,</w:t>
      </w:r>
      <w:r>
        <w:rPr>
          <w:lang w:val="en-US"/>
        </w:rPr>
        <w:t xml:space="preserve"> </w:t>
      </w:r>
      <w:r w:rsidRPr="00895A79">
        <w:rPr>
          <w:lang w:val="en-US"/>
        </w:rPr>
        <w:t>annually, to the Retail Prices Index.</w:t>
      </w:r>
      <w:r>
        <w:rPr>
          <w:lang w:val="en-US"/>
        </w:rPr>
        <w:t xml:space="preserve"> The German law on PSO contracts sets a price cap for station prices by 1.8 % p.a. In reality the increase can be higher (~ 3% in 2018) due to the possibility to include costs from contracts with other regional authorities. In a number of countries, the service facility operator determines the evolution of its charges. In Austria, for example, it is common for service </w:t>
      </w:r>
      <w:r>
        <w:rPr>
          <w:lang w:val="en-US"/>
        </w:rPr>
        <w:lastRenderedPageBreak/>
        <w:t xml:space="preserve">facility operators to inflate the charges by around 2 % p.a. </w:t>
      </w:r>
      <w:r w:rsidR="00A137B5">
        <w:rPr>
          <w:lang w:val="en-US"/>
        </w:rPr>
        <w:t>In the Netherlands the service facility operators may index their charges, provided that the charges do not exceed the cost of the service increased by a reasonable profit.</w:t>
      </w:r>
      <w:r>
        <w:rPr>
          <w:lang w:val="en-US"/>
        </w:rPr>
        <w:t xml:space="preserve"> Finally, in France, the decree describing charging principle applied to station services imposes to the operator of stations to take into account productivity for the computation of its charges.</w:t>
      </w:r>
    </w:p>
    <w:p w:rsidR="007C64B4" w:rsidRPr="002B6AA7" w:rsidRDefault="007C64B4" w:rsidP="007C64B4">
      <w:pPr>
        <w:rPr>
          <w:b/>
          <w:color w:val="000000"/>
          <w:sz w:val="18"/>
          <w:lang w:val="en-GB"/>
        </w:rPr>
      </w:pPr>
    </w:p>
    <w:p w:rsidR="007C64B4" w:rsidRPr="00FD32FA" w:rsidRDefault="007C64B4" w:rsidP="007C64B4">
      <w:pPr>
        <w:numPr>
          <w:ilvl w:val="1"/>
          <w:numId w:val="33"/>
        </w:numPr>
        <w:jc w:val="both"/>
        <w:rPr>
          <w:b/>
          <w:lang w:val="en-GB"/>
        </w:rPr>
      </w:pPr>
      <w:r w:rsidRPr="00FD32FA">
        <w:rPr>
          <w:b/>
          <w:bCs/>
          <w:color w:val="000000" w:themeColor="text1"/>
          <w:lang w:val="en-GB"/>
        </w:rPr>
        <w:t>Passenger stations</w:t>
      </w:r>
    </w:p>
    <w:p w:rsidR="007C64B4" w:rsidRPr="008A5D5C" w:rsidRDefault="007C64B4" w:rsidP="007C64B4">
      <w:pPr>
        <w:jc w:val="both"/>
        <w:rPr>
          <w:sz w:val="22"/>
          <w:lang w:val="en-GB"/>
        </w:rPr>
      </w:pPr>
    </w:p>
    <w:p w:rsidR="007C64B4" w:rsidRDefault="007C64B4" w:rsidP="007C64B4">
      <w:pPr>
        <w:jc w:val="both"/>
        <w:rPr>
          <w:lang w:val="en-GB"/>
        </w:rPr>
      </w:pPr>
      <w:r w:rsidRPr="00B92FA1">
        <w:rPr>
          <w:lang w:val="en-GB"/>
        </w:rPr>
        <w:t>The questions about passenger station</w:t>
      </w:r>
      <w:r>
        <w:rPr>
          <w:lang w:val="en-GB"/>
        </w:rPr>
        <w:t xml:space="preserve"> charges</w:t>
      </w:r>
      <w:r w:rsidRPr="00B92FA1">
        <w:rPr>
          <w:lang w:val="en-GB"/>
        </w:rPr>
        <w:t xml:space="preserve"> have been answered by </w:t>
      </w:r>
      <w:r>
        <w:rPr>
          <w:lang w:val="en-GB"/>
        </w:rPr>
        <w:t>18</w:t>
      </w:r>
      <w:r w:rsidRPr="00B92FA1">
        <w:rPr>
          <w:lang w:val="en-GB"/>
        </w:rPr>
        <w:t xml:space="preserve"> </w:t>
      </w:r>
      <w:r>
        <w:rPr>
          <w:lang w:val="en-GB"/>
        </w:rPr>
        <w:t xml:space="preserve">IRG-Rail </w:t>
      </w:r>
      <w:r w:rsidRPr="00B92FA1">
        <w:rPr>
          <w:lang w:val="en-GB"/>
        </w:rPr>
        <w:t>member</w:t>
      </w:r>
      <w:r>
        <w:rPr>
          <w:lang w:val="en-GB"/>
        </w:rPr>
        <w:t>s</w:t>
      </w:r>
      <w:r w:rsidRPr="00B92FA1">
        <w:rPr>
          <w:lang w:val="en-GB"/>
        </w:rPr>
        <w:t>. In the majority of member states all the stations are owned and managed by the infrastructure manager</w:t>
      </w:r>
      <w:r w:rsidRPr="005077DC">
        <w:rPr>
          <w:lang w:val="en-GB"/>
        </w:rPr>
        <w:t>, referring</w:t>
      </w:r>
      <w:r>
        <w:rPr>
          <w:lang w:val="en-GB"/>
        </w:rPr>
        <w:t xml:space="preserve"> in most cases</w:t>
      </w:r>
      <w:r w:rsidRPr="005077DC">
        <w:rPr>
          <w:lang w:val="en-GB"/>
        </w:rPr>
        <w:t xml:space="preserve"> to the incumbent and former state owned enterprise</w:t>
      </w:r>
      <w:r w:rsidRPr="00B92FA1">
        <w:rPr>
          <w:lang w:val="en-GB"/>
        </w:rPr>
        <w:t xml:space="preserve">. Only in Belgium and France the train stations are operated by the incumbent railway undertaking. </w:t>
      </w:r>
      <w:r>
        <w:rPr>
          <w:lang w:val="en-GB"/>
        </w:rPr>
        <w:t xml:space="preserve">In Sweden the infrastructure manager manages tracks and platforms in stations, while a separate (not infrastructure manager /railway undertaking) state-owned non-profit company manages all major stations and the rail-related services supplied in those buildings. </w:t>
      </w:r>
    </w:p>
    <w:p w:rsidR="007C64B4" w:rsidRPr="008A5D5C" w:rsidRDefault="007C64B4" w:rsidP="007C64B4">
      <w:pPr>
        <w:jc w:val="both"/>
        <w:rPr>
          <w:sz w:val="20"/>
          <w:lang w:val="en-GB"/>
        </w:rPr>
      </w:pPr>
    </w:p>
    <w:p w:rsidR="007C64B4" w:rsidRDefault="007C64B4" w:rsidP="007C64B4">
      <w:pPr>
        <w:jc w:val="both"/>
        <w:rPr>
          <w:lang w:val="en-GB"/>
        </w:rPr>
      </w:pPr>
      <w:r>
        <w:rPr>
          <w:lang w:val="en-GB"/>
        </w:rPr>
        <w:t xml:space="preserve">In Germany there are numerous privately owned station managers. However DB Station &amp; Services AG operates most stations. DB Station &amp; Services AG, a state owned but privately managed firm, is an independently operating service facility operator. Like the infrastructure manager DB </w:t>
      </w:r>
      <w:proofErr w:type="spellStart"/>
      <w:r>
        <w:rPr>
          <w:lang w:val="en-GB"/>
        </w:rPr>
        <w:t>Netz</w:t>
      </w:r>
      <w:proofErr w:type="spellEnd"/>
      <w:r>
        <w:rPr>
          <w:lang w:val="en-GB"/>
        </w:rPr>
        <w:t xml:space="preserve"> AG, DB Station &amp; Services AG is part of Deutsche Bahn holding. Both enterprises are successors of the former incumbent Deutsche </w:t>
      </w:r>
      <w:proofErr w:type="spellStart"/>
      <w:r>
        <w:rPr>
          <w:lang w:val="en-GB"/>
        </w:rPr>
        <w:t>Bundesbahn</w:t>
      </w:r>
      <w:proofErr w:type="spellEnd"/>
      <w:r>
        <w:rPr>
          <w:lang w:val="en-GB"/>
        </w:rPr>
        <w:t>.</w:t>
      </w:r>
    </w:p>
    <w:p w:rsidR="007C64B4" w:rsidRPr="008A5D5C" w:rsidRDefault="007C64B4" w:rsidP="007C64B4">
      <w:pPr>
        <w:jc w:val="both"/>
        <w:rPr>
          <w:color w:val="1F497D"/>
          <w:sz w:val="20"/>
          <w:lang w:val="en-US"/>
        </w:rPr>
      </w:pPr>
    </w:p>
    <w:p w:rsidR="002B6AA7" w:rsidRDefault="007C64B4" w:rsidP="00CF43EF">
      <w:pPr>
        <w:spacing w:after="120"/>
        <w:jc w:val="both"/>
        <w:rPr>
          <w:lang w:val="en-GB"/>
        </w:rPr>
      </w:pPr>
      <w:r>
        <w:rPr>
          <w:lang w:val="en-GB"/>
        </w:rPr>
        <w:t>The following table shows the operator of the passenger stations in the different IRG-Rail members categorised as: Infrastructure Manager (IM), Railway undertaking (RU) incumbent, a service facility operator (SFO) controlled by the incumbent and “Others”.</w:t>
      </w:r>
    </w:p>
    <w:p w:rsidR="002B6AA7" w:rsidRDefault="002B6AA7">
      <w:pPr>
        <w:rPr>
          <w:lang w:val="en-GB"/>
        </w:rPr>
      </w:pPr>
      <w:r>
        <w:rPr>
          <w:lang w:val="en-GB"/>
        </w:rPr>
        <w:br w:type="page"/>
      </w:r>
    </w:p>
    <w:tbl>
      <w:tblPr>
        <w:tblStyle w:val="Grilledutableau"/>
        <w:tblW w:w="5720" w:type="dxa"/>
        <w:jc w:val="center"/>
        <w:tblLook w:val="04A0" w:firstRow="1" w:lastRow="0" w:firstColumn="1" w:lastColumn="0" w:noHBand="0" w:noVBand="1"/>
      </w:tblPr>
      <w:tblGrid>
        <w:gridCol w:w="1279"/>
        <w:gridCol w:w="559"/>
        <w:gridCol w:w="1519"/>
        <w:gridCol w:w="1560"/>
        <w:gridCol w:w="803"/>
      </w:tblGrid>
      <w:tr w:rsidR="007C64B4" w:rsidRPr="00B92FA1" w:rsidTr="002B6AA7">
        <w:trPr>
          <w:trHeight w:val="300"/>
          <w:jc w:val="center"/>
        </w:trPr>
        <w:tc>
          <w:tcPr>
            <w:tcW w:w="1279" w:type="dxa"/>
            <w:noWrap/>
            <w:vAlign w:val="center"/>
            <w:hideMark/>
          </w:tcPr>
          <w:p w:rsidR="007C64B4" w:rsidRPr="00B92FA1" w:rsidRDefault="007C64B4" w:rsidP="00CF43EF">
            <w:pPr>
              <w:jc w:val="center"/>
              <w:rPr>
                <w:lang w:val="en-GB"/>
              </w:rPr>
            </w:pPr>
          </w:p>
        </w:tc>
        <w:tc>
          <w:tcPr>
            <w:tcW w:w="4441" w:type="dxa"/>
            <w:gridSpan w:val="4"/>
            <w:noWrap/>
            <w:vAlign w:val="center"/>
            <w:hideMark/>
          </w:tcPr>
          <w:p w:rsidR="007C64B4" w:rsidRPr="00B92FA1" w:rsidRDefault="007C64B4" w:rsidP="00CF43EF">
            <w:pPr>
              <w:jc w:val="center"/>
              <w:rPr>
                <w:color w:val="000000" w:themeColor="text1"/>
                <w:lang w:val="en-GB"/>
              </w:rPr>
            </w:pPr>
            <w:r>
              <w:rPr>
                <w:color w:val="000000" w:themeColor="text1"/>
                <w:sz w:val="22"/>
                <w:szCs w:val="22"/>
                <w:lang w:val="en-GB"/>
              </w:rPr>
              <w:t>Passenger station</w:t>
            </w:r>
            <w:r w:rsidRPr="00B92FA1">
              <w:rPr>
                <w:color w:val="000000" w:themeColor="text1"/>
                <w:sz w:val="22"/>
                <w:szCs w:val="22"/>
                <w:lang w:val="en-GB"/>
              </w:rPr>
              <w:t xml:space="preserve"> operator</w:t>
            </w:r>
          </w:p>
        </w:tc>
      </w:tr>
      <w:tr w:rsidR="007C64B4" w:rsidRPr="00B92FA1" w:rsidTr="002B6AA7">
        <w:trPr>
          <w:cantSplit/>
          <w:trHeight w:val="469"/>
          <w:jc w:val="center"/>
        </w:trPr>
        <w:tc>
          <w:tcPr>
            <w:tcW w:w="1279" w:type="dxa"/>
            <w:noWrap/>
            <w:vAlign w:val="center"/>
            <w:hideMark/>
          </w:tcPr>
          <w:p w:rsidR="007C64B4" w:rsidRPr="00B92FA1" w:rsidRDefault="007C64B4" w:rsidP="00CF43EF">
            <w:pPr>
              <w:jc w:val="center"/>
              <w:rPr>
                <w:color w:val="000000"/>
                <w:lang w:val="en-GB"/>
              </w:rPr>
            </w:pPr>
          </w:p>
        </w:tc>
        <w:tc>
          <w:tcPr>
            <w:tcW w:w="559" w:type="dxa"/>
            <w:noWrap/>
            <w:vAlign w:val="center"/>
            <w:hideMark/>
          </w:tcPr>
          <w:p w:rsidR="007C64B4" w:rsidRPr="00B92FA1" w:rsidRDefault="007C64B4" w:rsidP="00CF43EF">
            <w:pPr>
              <w:jc w:val="center"/>
              <w:rPr>
                <w:color w:val="000000" w:themeColor="text1"/>
                <w:lang w:val="en-GB"/>
              </w:rPr>
            </w:pPr>
            <w:r w:rsidRPr="00B92FA1">
              <w:rPr>
                <w:color w:val="000000" w:themeColor="text1"/>
                <w:sz w:val="22"/>
                <w:szCs w:val="22"/>
                <w:lang w:val="en-GB"/>
              </w:rPr>
              <w:t>IM</w:t>
            </w:r>
          </w:p>
        </w:tc>
        <w:tc>
          <w:tcPr>
            <w:tcW w:w="1519" w:type="dxa"/>
            <w:noWrap/>
            <w:vAlign w:val="center"/>
            <w:hideMark/>
          </w:tcPr>
          <w:p w:rsidR="007C64B4" w:rsidRPr="00B92FA1" w:rsidRDefault="007C64B4" w:rsidP="00CF43EF">
            <w:pPr>
              <w:jc w:val="center"/>
              <w:rPr>
                <w:color w:val="000000" w:themeColor="text1"/>
                <w:lang w:val="en-GB"/>
              </w:rPr>
            </w:pPr>
            <w:r w:rsidRPr="00B92FA1">
              <w:rPr>
                <w:color w:val="000000" w:themeColor="text1"/>
                <w:sz w:val="22"/>
                <w:szCs w:val="22"/>
                <w:lang w:val="en-GB"/>
              </w:rPr>
              <w:t>RU incumbent</w:t>
            </w:r>
          </w:p>
        </w:tc>
        <w:tc>
          <w:tcPr>
            <w:tcW w:w="1560" w:type="dxa"/>
            <w:noWrap/>
            <w:vAlign w:val="center"/>
            <w:hideMark/>
          </w:tcPr>
          <w:p w:rsidR="007C64B4" w:rsidRPr="00B92FA1" w:rsidRDefault="007C64B4" w:rsidP="00CF43EF">
            <w:pPr>
              <w:jc w:val="center"/>
              <w:rPr>
                <w:color w:val="000000" w:themeColor="text1"/>
                <w:lang w:val="en-GB"/>
              </w:rPr>
            </w:pPr>
            <w:r w:rsidRPr="00B92FA1">
              <w:rPr>
                <w:color w:val="000000" w:themeColor="text1"/>
                <w:sz w:val="22"/>
                <w:szCs w:val="22"/>
                <w:lang w:val="en-GB"/>
              </w:rPr>
              <w:t xml:space="preserve">SFO </w:t>
            </w:r>
            <w:r w:rsidRPr="00B92FA1">
              <w:rPr>
                <w:color w:val="000000" w:themeColor="text1"/>
                <w:sz w:val="18"/>
                <w:szCs w:val="22"/>
                <w:lang w:val="en-GB"/>
              </w:rPr>
              <w:t>controlled by the incumbent)</w:t>
            </w:r>
          </w:p>
        </w:tc>
        <w:tc>
          <w:tcPr>
            <w:tcW w:w="803" w:type="dxa"/>
            <w:noWrap/>
            <w:vAlign w:val="center"/>
            <w:hideMark/>
          </w:tcPr>
          <w:p w:rsidR="007C64B4" w:rsidRPr="00B92FA1" w:rsidRDefault="007C64B4" w:rsidP="00CF43EF">
            <w:pPr>
              <w:jc w:val="center"/>
              <w:rPr>
                <w:color w:val="000000" w:themeColor="text1"/>
                <w:lang w:val="en-GB"/>
              </w:rPr>
            </w:pPr>
            <w:r w:rsidRPr="00B92FA1">
              <w:rPr>
                <w:color w:val="000000" w:themeColor="text1"/>
                <w:sz w:val="22"/>
                <w:szCs w:val="22"/>
                <w:lang w:val="en-GB"/>
              </w:rPr>
              <w:t>Others</w:t>
            </w:r>
          </w:p>
        </w:tc>
      </w:tr>
      <w:tr w:rsidR="007C64B4" w:rsidRPr="00B92FA1" w:rsidTr="002B6AA7">
        <w:trPr>
          <w:trHeight w:val="121"/>
          <w:jc w:val="center"/>
        </w:trPr>
        <w:tc>
          <w:tcPr>
            <w:tcW w:w="1279" w:type="dxa"/>
            <w:noWrap/>
            <w:vAlign w:val="center"/>
            <w:hideMark/>
          </w:tcPr>
          <w:p w:rsidR="007C64B4" w:rsidRPr="00B92FA1" w:rsidRDefault="007C64B4" w:rsidP="00CF43EF">
            <w:pPr>
              <w:rPr>
                <w:color w:val="000000" w:themeColor="text1"/>
                <w:lang w:val="en-GB"/>
              </w:rPr>
            </w:pPr>
            <w:r w:rsidRPr="00B92FA1">
              <w:rPr>
                <w:color w:val="000000" w:themeColor="text1"/>
                <w:sz w:val="22"/>
                <w:szCs w:val="22"/>
                <w:lang w:val="en-GB"/>
              </w:rPr>
              <w:t>Austria</w:t>
            </w:r>
          </w:p>
        </w:tc>
        <w:tc>
          <w:tcPr>
            <w:tcW w:w="559" w:type="dxa"/>
            <w:noWrap/>
            <w:vAlign w:val="center"/>
            <w:hideMark/>
          </w:tcPr>
          <w:p w:rsidR="007C64B4" w:rsidRPr="00B92FA1" w:rsidRDefault="007C64B4" w:rsidP="00CF43EF">
            <w:pPr>
              <w:jc w:val="center"/>
              <w:rPr>
                <w:lang w:val="en-GB"/>
              </w:rPr>
            </w:pPr>
            <w:r w:rsidRPr="00B92FA1">
              <w:rPr>
                <w:color w:val="00B050"/>
                <w:sz w:val="22"/>
                <w:szCs w:val="22"/>
                <w:lang w:val="en-GB"/>
              </w:rPr>
              <w:sym w:font="Wingdings" w:char="F0FC"/>
            </w:r>
          </w:p>
        </w:tc>
        <w:tc>
          <w:tcPr>
            <w:tcW w:w="1519" w:type="dxa"/>
            <w:noWrap/>
            <w:vAlign w:val="center"/>
            <w:hideMark/>
          </w:tcPr>
          <w:p w:rsidR="007C64B4" w:rsidRPr="00B92FA1" w:rsidRDefault="007C64B4" w:rsidP="00CF43EF">
            <w:pPr>
              <w:jc w:val="center"/>
              <w:rPr>
                <w:lang w:val="en-GB"/>
              </w:rPr>
            </w:pPr>
            <w:r w:rsidRPr="00B92FA1">
              <w:rPr>
                <w:b/>
                <w:color w:val="FF0000"/>
                <w:sz w:val="22"/>
                <w:szCs w:val="22"/>
                <w:lang w:val="en-GB"/>
              </w:rPr>
              <w:t>×</w:t>
            </w:r>
          </w:p>
        </w:tc>
        <w:tc>
          <w:tcPr>
            <w:tcW w:w="1560" w:type="dxa"/>
            <w:noWrap/>
            <w:vAlign w:val="center"/>
            <w:hideMark/>
          </w:tcPr>
          <w:p w:rsidR="007C64B4" w:rsidRPr="00B92FA1" w:rsidRDefault="007C64B4" w:rsidP="00CF43EF">
            <w:pPr>
              <w:jc w:val="center"/>
              <w:rPr>
                <w:lang w:val="en-GB"/>
              </w:rPr>
            </w:pPr>
            <w:r w:rsidRPr="00B92FA1">
              <w:rPr>
                <w:b/>
                <w:color w:val="FF0000"/>
                <w:sz w:val="22"/>
                <w:szCs w:val="22"/>
                <w:lang w:val="en-GB"/>
              </w:rPr>
              <w:t>×</w:t>
            </w:r>
          </w:p>
        </w:tc>
        <w:tc>
          <w:tcPr>
            <w:tcW w:w="803" w:type="dxa"/>
            <w:noWrap/>
            <w:vAlign w:val="center"/>
            <w:hideMark/>
          </w:tcPr>
          <w:p w:rsidR="007C64B4" w:rsidRPr="00B92FA1" w:rsidRDefault="007C64B4" w:rsidP="00CF43EF">
            <w:pPr>
              <w:jc w:val="center"/>
              <w:rPr>
                <w:lang w:val="en-GB"/>
              </w:rPr>
            </w:pPr>
            <w:r w:rsidRPr="00B92FA1">
              <w:rPr>
                <w:b/>
                <w:color w:val="FF0000"/>
                <w:sz w:val="22"/>
                <w:szCs w:val="22"/>
                <w:lang w:val="en-GB"/>
              </w:rPr>
              <w:t>×</w:t>
            </w:r>
          </w:p>
        </w:tc>
      </w:tr>
      <w:tr w:rsidR="007C64B4" w:rsidRPr="00B92FA1" w:rsidTr="002B6AA7">
        <w:trPr>
          <w:trHeight w:val="300"/>
          <w:jc w:val="center"/>
        </w:trPr>
        <w:tc>
          <w:tcPr>
            <w:tcW w:w="1279" w:type="dxa"/>
            <w:noWrap/>
            <w:vAlign w:val="center"/>
            <w:hideMark/>
          </w:tcPr>
          <w:p w:rsidR="007C64B4" w:rsidRPr="00B92FA1" w:rsidRDefault="007C64B4" w:rsidP="00CF43EF">
            <w:pPr>
              <w:rPr>
                <w:color w:val="000000" w:themeColor="text1"/>
                <w:lang w:val="en-GB"/>
              </w:rPr>
            </w:pPr>
            <w:r w:rsidRPr="00B92FA1">
              <w:rPr>
                <w:color w:val="000000" w:themeColor="text1"/>
                <w:sz w:val="22"/>
                <w:szCs w:val="22"/>
                <w:lang w:val="en-GB"/>
              </w:rPr>
              <w:t>Belgium</w:t>
            </w:r>
          </w:p>
        </w:tc>
        <w:tc>
          <w:tcPr>
            <w:tcW w:w="559" w:type="dxa"/>
            <w:noWrap/>
            <w:vAlign w:val="center"/>
            <w:hideMark/>
          </w:tcPr>
          <w:p w:rsidR="007C64B4" w:rsidRPr="00B92FA1" w:rsidRDefault="007C64B4" w:rsidP="00CF43EF">
            <w:pPr>
              <w:jc w:val="center"/>
              <w:rPr>
                <w:lang w:val="en-GB"/>
              </w:rPr>
            </w:pPr>
            <w:r w:rsidRPr="00B92FA1">
              <w:rPr>
                <w:b/>
                <w:color w:val="FF0000"/>
                <w:sz w:val="22"/>
                <w:szCs w:val="22"/>
                <w:lang w:val="en-GB"/>
              </w:rPr>
              <w:t>×</w:t>
            </w:r>
          </w:p>
        </w:tc>
        <w:tc>
          <w:tcPr>
            <w:tcW w:w="1519" w:type="dxa"/>
            <w:noWrap/>
            <w:vAlign w:val="center"/>
            <w:hideMark/>
          </w:tcPr>
          <w:p w:rsidR="007C64B4" w:rsidRPr="00B92FA1" w:rsidRDefault="007C64B4" w:rsidP="00CF43EF">
            <w:pPr>
              <w:jc w:val="center"/>
              <w:rPr>
                <w:lang w:val="en-GB"/>
              </w:rPr>
            </w:pPr>
            <w:r w:rsidRPr="00B92FA1">
              <w:rPr>
                <w:color w:val="00B050"/>
                <w:sz w:val="22"/>
                <w:szCs w:val="22"/>
                <w:lang w:val="en-GB"/>
              </w:rPr>
              <w:sym w:font="Wingdings" w:char="F0FC"/>
            </w:r>
          </w:p>
        </w:tc>
        <w:tc>
          <w:tcPr>
            <w:tcW w:w="1560" w:type="dxa"/>
            <w:noWrap/>
            <w:vAlign w:val="center"/>
            <w:hideMark/>
          </w:tcPr>
          <w:p w:rsidR="007C64B4" w:rsidRPr="00B92FA1" w:rsidRDefault="007C64B4" w:rsidP="00CF43EF">
            <w:pPr>
              <w:jc w:val="center"/>
              <w:rPr>
                <w:lang w:val="en-GB"/>
              </w:rPr>
            </w:pPr>
            <w:r w:rsidRPr="00B92FA1">
              <w:rPr>
                <w:b/>
                <w:color w:val="FF0000"/>
                <w:sz w:val="22"/>
                <w:szCs w:val="22"/>
                <w:lang w:val="en-GB"/>
              </w:rPr>
              <w:t>×</w:t>
            </w:r>
          </w:p>
        </w:tc>
        <w:tc>
          <w:tcPr>
            <w:tcW w:w="803" w:type="dxa"/>
            <w:noWrap/>
            <w:vAlign w:val="center"/>
            <w:hideMark/>
          </w:tcPr>
          <w:p w:rsidR="007C64B4" w:rsidRPr="00B92FA1" w:rsidRDefault="007C64B4" w:rsidP="00CF43EF">
            <w:pPr>
              <w:jc w:val="center"/>
              <w:rPr>
                <w:lang w:val="en-GB"/>
              </w:rPr>
            </w:pPr>
            <w:r w:rsidRPr="00B92FA1">
              <w:rPr>
                <w:b/>
                <w:color w:val="FF0000"/>
                <w:sz w:val="22"/>
                <w:szCs w:val="22"/>
                <w:lang w:val="en-GB"/>
              </w:rPr>
              <w:t>×</w:t>
            </w:r>
          </w:p>
        </w:tc>
      </w:tr>
      <w:tr w:rsidR="007C64B4" w:rsidRPr="00B92FA1" w:rsidTr="002B6AA7">
        <w:trPr>
          <w:trHeight w:val="300"/>
          <w:jc w:val="center"/>
        </w:trPr>
        <w:tc>
          <w:tcPr>
            <w:tcW w:w="1279" w:type="dxa"/>
            <w:noWrap/>
            <w:vAlign w:val="center"/>
            <w:hideMark/>
          </w:tcPr>
          <w:p w:rsidR="007C64B4" w:rsidRPr="00B92FA1" w:rsidRDefault="007C64B4" w:rsidP="00CF43EF">
            <w:pPr>
              <w:rPr>
                <w:color w:val="000000" w:themeColor="text1"/>
                <w:lang w:val="en-GB"/>
              </w:rPr>
            </w:pPr>
            <w:r w:rsidRPr="00B92FA1">
              <w:rPr>
                <w:color w:val="000000" w:themeColor="text1"/>
                <w:sz w:val="22"/>
                <w:szCs w:val="22"/>
                <w:lang w:val="en-GB"/>
              </w:rPr>
              <w:t>Bulgaria</w:t>
            </w:r>
          </w:p>
        </w:tc>
        <w:tc>
          <w:tcPr>
            <w:tcW w:w="559" w:type="dxa"/>
            <w:noWrap/>
            <w:vAlign w:val="center"/>
            <w:hideMark/>
          </w:tcPr>
          <w:p w:rsidR="007C64B4" w:rsidRPr="00B92FA1" w:rsidRDefault="007C64B4" w:rsidP="00CF43EF">
            <w:pPr>
              <w:jc w:val="center"/>
              <w:rPr>
                <w:lang w:val="en-GB"/>
              </w:rPr>
            </w:pPr>
            <w:r w:rsidRPr="00B92FA1">
              <w:rPr>
                <w:color w:val="00B050"/>
                <w:sz w:val="22"/>
                <w:szCs w:val="22"/>
                <w:lang w:val="en-GB"/>
              </w:rPr>
              <w:sym w:font="Wingdings" w:char="F0FC"/>
            </w:r>
          </w:p>
        </w:tc>
        <w:tc>
          <w:tcPr>
            <w:tcW w:w="1519" w:type="dxa"/>
            <w:noWrap/>
            <w:vAlign w:val="center"/>
            <w:hideMark/>
          </w:tcPr>
          <w:p w:rsidR="007C64B4" w:rsidRPr="00B92FA1" w:rsidRDefault="007C64B4" w:rsidP="00CF43EF">
            <w:pPr>
              <w:jc w:val="center"/>
              <w:rPr>
                <w:lang w:val="en-GB"/>
              </w:rPr>
            </w:pPr>
            <w:r w:rsidRPr="00B92FA1">
              <w:rPr>
                <w:b/>
                <w:color w:val="FF0000"/>
                <w:sz w:val="22"/>
                <w:szCs w:val="22"/>
                <w:lang w:val="en-GB"/>
              </w:rPr>
              <w:t>×</w:t>
            </w:r>
          </w:p>
        </w:tc>
        <w:tc>
          <w:tcPr>
            <w:tcW w:w="1560" w:type="dxa"/>
            <w:noWrap/>
            <w:vAlign w:val="center"/>
            <w:hideMark/>
          </w:tcPr>
          <w:p w:rsidR="007C64B4" w:rsidRPr="00B92FA1" w:rsidRDefault="007C64B4" w:rsidP="00CF43EF">
            <w:pPr>
              <w:jc w:val="center"/>
              <w:rPr>
                <w:lang w:val="en-GB"/>
              </w:rPr>
            </w:pPr>
            <w:r w:rsidRPr="00B92FA1">
              <w:rPr>
                <w:b/>
                <w:color w:val="FF0000"/>
                <w:sz w:val="22"/>
                <w:szCs w:val="22"/>
                <w:lang w:val="en-GB"/>
              </w:rPr>
              <w:t>×</w:t>
            </w:r>
          </w:p>
        </w:tc>
        <w:tc>
          <w:tcPr>
            <w:tcW w:w="803" w:type="dxa"/>
            <w:noWrap/>
            <w:vAlign w:val="center"/>
            <w:hideMark/>
          </w:tcPr>
          <w:p w:rsidR="007C64B4" w:rsidRPr="00B92FA1" w:rsidRDefault="007C64B4" w:rsidP="00CF43EF">
            <w:pPr>
              <w:jc w:val="center"/>
              <w:rPr>
                <w:lang w:val="en-GB"/>
              </w:rPr>
            </w:pPr>
            <w:r w:rsidRPr="00B92FA1">
              <w:rPr>
                <w:b/>
                <w:color w:val="FF0000"/>
                <w:sz w:val="22"/>
                <w:szCs w:val="22"/>
                <w:lang w:val="en-GB"/>
              </w:rPr>
              <w:t>×</w:t>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Croatia</w:t>
            </w:r>
          </w:p>
        </w:tc>
        <w:tc>
          <w:tcPr>
            <w:tcW w:w="55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hideMark/>
          </w:tcPr>
          <w:p w:rsidR="00C42AF8" w:rsidRPr="00B92FA1" w:rsidRDefault="00C42AF8" w:rsidP="00715F4B">
            <w:pPr>
              <w:jc w:val="center"/>
              <w:rPr>
                <w:lang w:val="en-GB"/>
              </w:rPr>
            </w:pPr>
            <w:r w:rsidRPr="00B92FA1">
              <w:rPr>
                <w:b/>
                <w:color w:val="FF0000"/>
                <w:sz w:val="22"/>
                <w:szCs w:val="22"/>
                <w:lang w:val="en-GB"/>
              </w:rPr>
              <w:t>×</w:t>
            </w:r>
          </w:p>
        </w:tc>
        <w:tc>
          <w:tcPr>
            <w:tcW w:w="1560" w:type="dxa"/>
            <w:noWrap/>
            <w:vAlign w:val="center"/>
            <w:hideMark/>
          </w:tcPr>
          <w:p w:rsidR="00C42AF8" w:rsidRPr="00B92FA1" w:rsidRDefault="00C42AF8" w:rsidP="00715F4B">
            <w:pPr>
              <w:jc w:val="center"/>
              <w:rPr>
                <w:lang w:val="en-GB"/>
              </w:rPr>
            </w:pPr>
            <w:r w:rsidRPr="00B92FA1">
              <w:rPr>
                <w:b/>
                <w:color w:val="FF0000"/>
                <w:sz w:val="22"/>
                <w:szCs w:val="22"/>
                <w:lang w:val="en-GB"/>
              </w:rPr>
              <w:t>×</w:t>
            </w:r>
          </w:p>
        </w:tc>
        <w:tc>
          <w:tcPr>
            <w:tcW w:w="803" w:type="dxa"/>
            <w:noWrap/>
            <w:vAlign w:val="center"/>
            <w:hideMark/>
          </w:tcPr>
          <w:p w:rsidR="00C42AF8" w:rsidRPr="00B92FA1" w:rsidRDefault="00C42AF8" w:rsidP="00715F4B">
            <w:pPr>
              <w:jc w:val="center"/>
              <w:rPr>
                <w:lang w:val="en-GB"/>
              </w:rPr>
            </w:pPr>
            <w:r w:rsidRPr="00B92FA1">
              <w:rPr>
                <w:b/>
                <w:color w:val="FF0000"/>
                <w:sz w:val="22"/>
                <w:szCs w:val="22"/>
                <w:lang w:val="en-GB"/>
              </w:rPr>
              <w:t>×</w:t>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Finland</w:t>
            </w:r>
          </w:p>
        </w:tc>
        <w:tc>
          <w:tcPr>
            <w:tcW w:w="55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60"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c>
          <w:tcPr>
            <w:tcW w:w="803"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France</w:t>
            </w:r>
          </w:p>
        </w:tc>
        <w:tc>
          <w:tcPr>
            <w:tcW w:w="55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60"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c>
          <w:tcPr>
            <w:tcW w:w="803"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Germany</w:t>
            </w:r>
          </w:p>
        </w:tc>
        <w:tc>
          <w:tcPr>
            <w:tcW w:w="55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c>
          <w:tcPr>
            <w:tcW w:w="1560"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803"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Greece</w:t>
            </w:r>
          </w:p>
        </w:tc>
        <w:tc>
          <w:tcPr>
            <w:tcW w:w="55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hideMark/>
          </w:tcPr>
          <w:p w:rsidR="00C42AF8" w:rsidRPr="00B92FA1" w:rsidRDefault="00C42AF8" w:rsidP="00715F4B">
            <w:pPr>
              <w:jc w:val="center"/>
              <w:rPr>
                <w:lang w:val="en-GB"/>
              </w:rPr>
            </w:pPr>
            <w:r w:rsidRPr="00B92FA1">
              <w:rPr>
                <w:b/>
                <w:color w:val="FF0000"/>
                <w:sz w:val="22"/>
                <w:szCs w:val="22"/>
                <w:lang w:val="en-GB"/>
              </w:rPr>
              <w:t>×</w:t>
            </w:r>
          </w:p>
        </w:tc>
        <w:tc>
          <w:tcPr>
            <w:tcW w:w="1560" w:type="dxa"/>
            <w:noWrap/>
            <w:vAlign w:val="center"/>
            <w:hideMark/>
          </w:tcPr>
          <w:p w:rsidR="00C42AF8" w:rsidRPr="00B92FA1" w:rsidRDefault="00C42AF8" w:rsidP="00715F4B">
            <w:pPr>
              <w:jc w:val="center"/>
              <w:rPr>
                <w:lang w:val="en-GB"/>
              </w:rPr>
            </w:pPr>
            <w:r w:rsidRPr="00B92FA1">
              <w:rPr>
                <w:b/>
                <w:color w:val="FF0000"/>
                <w:sz w:val="22"/>
                <w:szCs w:val="22"/>
                <w:lang w:val="en-GB"/>
              </w:rPr>
              <w:t>×</w:t>
            </w:r>
          </w:p>
        </w:tc>
        <w:tc>
          <w:tcPr>
            <w:tcW w:w="803"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Italy</w:t>
            </w:r>
          </w:p>
        </w:tc>
        <w:tc>
          <w:tcPr>
            <w:tcW w:w="55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c>
          <w:tcPr>
            <w:tcW w:w="1560"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r w:rsidRPr="002B6AA7">
              <w:rPr>
                <w:rStyle w:val="Appelnotedebasdep"/>
                <w:sz w:val="22"/>
                <w:szCs w:val="22"/>
                <w:lang w:val="en-GB"/>
              </w:rPr>
              <w:footnoteReference w:id="25"/>
            </w:r>
          </w:p>
        </w:tc>
        <w:tc>
          <w:tcPr>
            <w:tcW w:w="803"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Netherlands</w:t>
            </w:r>
          </w:p>
        </w:tc>
        <w:tc>
          <w:tcPr>
            <w:tcW w:w="55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60"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c>
          <w:tcPr>
            <w:tcW w:w="803"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Norway</w:t>
            </w:r>
          </w:p>
        </w:tc>
        <w:tc>
          <w:tcPr>
            <w:tcW w:w="55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c>
          <w:tcPr>
            <w:tcW w:w="1560"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c>
          <w:tcPr>
            <w:tcW w:w="803"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Poland</w:t>
            </w:r>
          </w:p>
        </w:tc>
        <w:tc>
          <w:tcPr>
            <w:tcW w:w="559"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c>
          <w:tcPr>
            <w:tcW w:w="1560" w:type="dxa"/>
            <w:noWrap/>
            <w:vAlign w:val="center"/>
            <w:hideMark/>
          </w:tcPr>
          <w:p w:rsidR="00C42AF8" w:rsidRPr="00B92FA1" w:rsidRDefault="00C42AF8" w:rsidP="00CF43EF">
            <w:pPr>
              <w:jc w:val="center"/>
              <w:rPr>
                <w:lang w:val="en-GB"/>
              </w:rPr>
            </w:pPr>
            <w:r w:rsidRPr="00B92FA1">
              <w:rPr>
                <w:b/>
                <w:color w:val="FF0000"/>
                <w:sz w:val="22"/>
                <w:szCs w:val="22"/>
                <w:lang w:val="en-GB"/>
              </w:rPr>
              <w:t>×</w:t>
            </w:r>
          </w:p>
        </w:tc>
        <w:tc>
          <w:tcPr>
            <w:tcW w:w="803" w:type="dxa"/>
            <w:noWrap/>
            <w:vAlign w:val="center"/>
            <w:hideMark/>
          </w:tcPr>
          <w:p w:rsidR="00C42AF8" w:rsidRPr="00B92FA1" w:rsidRDefault="00C42AF8" w:rsidP="00CF43EF">
            <w:pPr>
              <w:jc w:val="center"/>
              <w:rPr>
                <w:lang w:val="en-GB"/>
              </w:rPr>
            </w:pPr>
            <w:r w:rsidRPr="00B92FA1">
              <w:rPr>
                <w:color w:val="00B050"/>
                <w:sz w:val="22"/>
                <w:szCs w:val="22"/>
                <w:lang w:val="en-GB"/>
              </w:rPr>
              <w:sym w:font="Wingdings" w:char="F0FC"/>
            </w:r>
          </w:p>
        </w:tc>
      </w:tr>
      <w:tr w:rsidR="00C42AF8" w:rsidRPr="00B92FA1" w:rsidTr="002B6AA7">
        <w:trPr>
          <w:trHeight w:val="300"/>
          <w:jc w:val="center"/>
        </w:trPr>
        <w:tc>
          <w:tcPr>
            <w:tcW w:w="1279" w:type="dxa"/>
            <w:noWrap/>
            <w:vAlign w:val="center"/>
          </w:tcPr>
          <w:p w:rsidR="00C42AF8" w:rsidRPr="00B92FA1" w:rsidRDefault="00C42AF8" w:rsidP="00CF43EF">
            <w:pPr>
              <w:rPr>
                <w:color w:val="000000" w:themeColor="text1"/>
                <w:lang w:val="en-GB"/>
              </w:rPr>
            </w:pPr>
            <w:r w:rsidRPr="00B92FA1">
              <w:rPr>
                <w:color w:val="000000" w:themeColor="text1"/>
                <w:sz w:val="22"/>
                <w:szCs w:val="22"/>
                <w:lang w:val="en-GB"/>
              </w:rPr>
              <w:t>Portugal</w:t>
            </w:r>
          </w:p>
        </w:tc>
        <w:tc>
          <w:tcPr>
            <w:tcW w:w="559" w:type="dxa"/>
            <w:noWrap/>
            <w:vAlign w:val="center"/>
          </w:tcPr>
          <w:p w:rsidR="00C42AF8" w:rsidRPr="00B92FA1" w:rsidRDefault="00C42AF8" w:rsidP="00CF43EF">
            <w:pPr>
              <w:jc w:val="center"/>
              <w:rPr>
                <w:color w:val="000000"/>
                <w:lang w:val="en-GB"/>
              </w:rPr>
            </w:pPr>
            <w:r w:rsidRPr="00B92FA1">
              <w:rPr>
                <w:color w:val="00B050"/>
                <w:sz w:val="22"/>
                <w:szCs w:val="22"/>
                <w:lang w:val="en-GB"/>
              </w:rPr>
              <w:sym w:font="Wingdings" w:char="F0FC"/>
            </w:r>
          </w:p>
        </w:tc>
        <w:tc>
          <w:tcPr>
            <w:tcW w:w="1519" w:type="dxa"/>
            <w:noWrap/>
            <w:vAlign w:val="center"/>
          </w:tcPr>
          <w:p w:rsidR="00C42AF8" w:rsidRPr="00B92FA1" w:rsidRDefault="00C42AF8" w:rsidP="00CF43EF">
            <w:pPr>
              <w:jc w:val="center"/>
              <w:rPr>
                <w:color w:val="000000"/>
                <w:lang w:val="en-GB"/>
              </w:rPr>
            </w:pPr>
            <w:r w:rsidRPr="00B92FA1">
              <w:rPr>
                <w:b/>
                <w:color w:val="FF0000"/>
                <w:sz w:val="22"/>
                <w:szCs w:val="22"/>
                <w:lang w:val="en-GB"/>
              </w:rPr>
              <w:t>×</w:t>
            </w:r>
          </w:p>
        </w:tc>
        <w:tc>
          <w:tcPr>
            <w:tcW w:w="1560" w:type="dxa"/>
            <w:noWrap/>
            <w:vAlign w:val="center"/>
          </w:tcPr>
          <w:p w:rsidR="00C42AF8" w:rsidRPr="00B92FA1" w:rsidRDefault="00C42AF8" w:rsidP="00CF43EF">
            <w:pPr>
              <w:jc w:val="center"/>
              <w:rPr>
                <w:color w:val="000000"/>
                <w:lang w:val="en-GB"/>
              </w:rPr>
            </w:pPr>
            <w:r w:rsidRPr="00B92FA1">
              <w:rPr>
                <w:b/>
                <w:color w:val="FF0000"/>
                <w:sz w:val="22"/>
                <w:szCs w:val="22"/>
                <w:lang w:val="en-GB"/>
              </w:rPr>
              <w:t>×</w:t>
            </w:r>
          </w:p>
        </w:tc>
        <w:tc>
          <w:tcPr>
            <w:tcW w:w="803" w:type="dxa"/>
            <w:noWrap/>
            <w:vAlign w:val="center"/>
          </w:tcPr>
          <w:p w:rsidR="00C42AF8" w:rsidRPr="00B92FA1" w:rsidRDefault="00C42AF8" w:rsidP="00CF43EF">
            <w:pPr>
              <w:jc w:val="center"/>
              <w:rPr>
                <w:color w:val="000000"/>
                <w:lang w:val="en-GB"/>
              </w:rPr>
            </w:pPr>
            <w:r w:rsidRPr="00B92FA1">
              <w:rPr>
                <w:color w:val="00B050"/>
                <w:sz w:val="22"/>
                <w:szCs w:val="22"/>
                <w:lang w:val="en-GB"/>
              </w:rPr>
              <w:sym w:font="Wingdings" w:char="F0FC"/>
            </w:r>
          </w:p>
        </w:tc>
      </w:tr>
      <w:tr w:rsidR="00C42AF8" w:rsidRPr="00B92FA1" w:rsidTr="002B6AA7">
        <w:trPr>
          <w:trHeight w:val="300"/>
          <w:jc w:val="center"/>
        </w:trPr>
        <w:tc>
          <w:tcPr>
            <w:tcW w:w="1279" w:type="dxa"/>
            <w:noWrap/>
            <w:vAlign w:val="center"/>
          </w:tcPr>
          <w:p w:rsidR="00C42AF8" w:rsidRPr="00B92FA1" w:rsidRDefault="00C42AF8" w:rsidP="00CF43EF">
            <w:pPr>
              <w:rPr>
                <w:color w:val="000000" w:themeColor="text1"/>
                <w:lang w:val="en-GB"/>
              </w:rPr>
            </w:pPr>
            <w:r w:rsidRPr="00B92FA1">
              <w:rPr>
                <w:color w:val="000000" w:themeColor="text1"/>
                <w:sz w:val="22"/>
                <w:szCs w:val="22"/>
                <w:lang w:val="en-GB"/>
              </w:rPr>
              <w:t>Romania</w:t>
            </w:r>
          </w:p>
        </w:tc>
        <w:tc>
          <w:tcPr>
            <w:tcW w:w="559" w:type="dxa"/>
            <w:noWrap/>
            <w:vAlign w:val="center"/>
          </w:tcPr>
          <w:p w:rsidR="00C42AF8" w:rsidRPr="00B92FA1" w:rsidRDefault="00C42AF8" w:rsidP="00CF43EF">
            <w:pPr>
              <w:jc w:val="center"/>
              <w:rPr>
                <w:color w:val="000000"/>
                <w:lang w:val="en-GB"/>
              </w:rPr>
            </w:pPr>
            <w:r w:rsidRPr="00B92FA1">
              <w:rPr>
                <w:color w:val="00B050"/>
                <w:sz w:val="22"/>
                <w:szCs w:val="22"/>
                <w:lang w:val="en-GB"/>
              </w:rPr>
              <w:sym w:font="Wingdings" w:char="F0FC"/>
            </w:r>
          </w:p>
        </w:tc>
        <w:tc>
          <w:tcPr>
            <w:tcW w:w="1519" w:type="dxa"/>
            <w:noWrap/>
            <w:vAlign w:val="center"/>
          </w:tcPr>
          <w:p w:rsidR="00C42AF8" w:rsidRPr="00B92FA1" w:rsidRDefault="00C42AF8" w:rsidP="00715F4B">
            <w:pPr>
              <w:jc w:val="center"/>
              <w:rPr>
                <w:color w:val="000000"/>
                <w:lang w:val="en-GB"/>
              </w:rPr>
            </w:pPr>
            <w:r w:rsidRPr="00B92FA1">
              <w:rPr>
                <w:b/>
                <w:color w:val="FF0000"/>
                <w:sz w:val="22"/>
                <w:szCs w:val="22"/>
                <w:lang w:val="en-GB"/>
              </w:rPr>
              <w:t>×</w:t>
            </w:r>
          </w:p>
        </w:tc>
        <w:tc>
          <w:tcPr>
            <w:tcW w:w="1560" w:type="dxa"/>
            <w:noWrap/>
            <w:vAlign w:val="center"/>
          </w:tcPr>
          <w:p w:rsidR="00C42AF8" w:rsidRPr="00B92FA1" w:rsidRDefault="00C42AF8" w:rsidP="00715F4B">
            <w:pPr>
              <w:jc w:val="center"/>
              <w:rPr>
                <w:color w:val="000000"/>
                <w:lang w:val="en-GB"/>
              </w:rPr>
            </w:pPr>
            <w:r w:rsidRPr="00B92FA1">
              <w:rPr>
                <w:b/>
                <w:color w:val="FF0000"/>
                <w:sz w:val="22"/>
                <w:szCs w:val="22"/>
                <w:lang w:val="en-GB"/>
              </w:rPr>
              <w:t>×</w:t>
            </w:r>
          </w:p>
        </w:tc>
        <w:tc>
          <w:tcPr>
            <w:tcW w:w="803" w:type="dxa"/>
            <w:noWrap/>
            <w:vAlign w:val="center"/>
          </w:tcPr>
          <w:p w:rsidR="00C42AF8" w:rsidRPr="00B92FA1" w:rsidRDefault="00C42AF8" w:rsidP="00715F4B">
            <w:pPr>
              <w:jc w:val="center"/>
              <w:rPr>
                <w:color w:val="000000"/>
                <w:lang w:val="en-GB"/>
              </w:rPr>
            </w:pPr>
            <w:r w:rsidRPr="00B92FA1">
              <w:rPr>
                <w:b/>
                <w:color w:val="FF0000"/>
                <w:sz w:val="22"/>
                <w:szCs w:val="22"/>
                <w:lang w:val="en-GB"/>
              </w:rPr>
              <w:t>×</w:t>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Slovenia</w:t>
            </w:r>
          </w:p>
        </w:tc>
        <w:tc>
          <w:tcPr>
            <w:tcW w:w="559" w:type="dxa"/>
            <w:noWrap/>
            <w:vAlign w:val="center"/>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tcPr>
          <w:p w:rsidR="00C42AF8" w:rsidRPr="00B92FA1" w:rsidRDefault="00C42AF8" w:rsidP="00CF43EF">
            <w:pPr>
              <w:jc w:val="center"/>
              <w:rPr>
                <w:lang w:val="en-GB"/>
              </w:rPr>
            </w:pPr>
            <w:r w:rsidRPr="00B92FA1">
              <w:rPr>
                <w:b/>
                <w:color w:val="FF0000"/>
                <w:sz w:val="22"/>
                <w:szCs w:val="22"/>
                <w:lang w:val="en-GB"/>
              </w:rPr>
              <w:t>×</w:t>
            </w:r>
          </w:p>
        </w:tc>
        <w:tc>
          <w:tcPr>
            <w:tcW w:w="1560" w:type="dxa"/>
            <w:noWrap/>
            <w:vAlign w:val="center"/>
          </w:tcPr>
          <w:p w:rsidR="00C42AF8" w:rsidRPr="00B92FA1" w:rsidRDefault="00C42AF8" w:rsidP="00CF43EF">
            <w:pPr>
              <w:jc w:val="center"/>
              <w:rPr>
                <w:lang w:val="en-GB"/>
              </w:rPr>
            </w:pPr>
            <w:r w:rsidRPr="00B92FA1">
              <w:rPr>
                <w:b/>
                <w:color w:val="FF0000"/>
                <w:sz w:val="22"/>
                <w:szCs w:val="22"/>
                <w:lang w:val="en-GB"/>
              </w:rPr>
              <w:t>×</w:t>
            </w:r>
          </w:p>
        </w:tc>
        <w:tc>
          <w:tcPr>
            <w:tcW w:w="803" w:type="dxa"/>
            <w:noWrap/>
            <w:vAlign w:val="center"/>
          </w:tcPr>
          <w:p w:rsidR="00C42AF8" w:rsidRPr="00B92FA1" w:rsidRDefault="00C42AF8" w:rsidP="00CF43EF">
            <w:pPr>
              <w:jc w:val="center"/>
              <w:rPr>
                <w:lang w:val="en-GB"/>
              </w:rPr>
            </w:pPr>
            <w:r w:rsidRPr="00B92FA1">
              <w:rPr>
                <w:b/>
                <w:color w:val="FF0000"/>
                <w:sz w:val="22"/>
                <w:szCs w:val="22"/>
                <w:lang w:val="en-GB"/>
              </w:rPr>
              <w:t>×</w:t>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Spain</w:t>
            </w:r>
          </w:p>
        </w:tc>
        <w:tc>
          <w:tcPr>
            <w:tcW w:w="559" w:type="dxa"/>
            <w:noWrap/>
            <w:vAlign w:val="center"/>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tcPr>
          <w:p w:rsidR="00C42AF8" w:rsidRPr="00B92FA1" w:rsidRDefault="00C42AF8" w:rsidP="00CF43EF">
            <w:pPr>
              <w:jc w:val="center"/>
              <w:rPr>
                <w:lang w:val="en-GB"/>
              </w:rPr>
            </w:pPr>
            <w:r w:rsidRPr="00B92FA1">
              <w:rPr>
                <w:color w:val="00B050"/>
                <w:sz w:val="22"/>
                <w:szCs w:val="22"/>
                <w:lang w:val="en-GB"/>
              </w:rPr>
              <w:sym w:font="Wingdings" w:char="F0FC"/>
            </w:r>
            <w:r w:rsidR="00EF1061">
              <w:rPr>
                <w:rStyle w:val="Appelnotedebasdep"/>
                <w:color w:val="00B050"/>
                <w:sz w:val="22"/>
                <w:szCs w:val="22"/>
                <w:lang w:val="en-GB"/>
              </w:rPr>
              <w:footnoteReference w:id="26"/>
            </w:r>
          </w:p>
        </w:tc>
        <w:tc>
          <w:tcPr>
            <w:tcW w:w="1560" w:type="dxa"/>
            <w:noWrap/>
            <w:vAlign w:val="center"/>
          </w:tcPr>
          <w:p w:rsidR="00C42AF8" w:rsidRPr="00B92FA1" w:rsidRDefault="00C42AF8" w:rsidP="00CF43EF">
            <w:pPr>
              <w:jc w:val="center"/>
              <w:rPr>
                <w:lang w:val="en-GB"/>
              </w:rPr>
            </w:pPr>
            <w:r w:rsidRPr="00B92FA1">
              <w:rPr>
                <w:b/>
                <w:color w:val="FF0000"/>
                <w:sz w:val="22"/>
                <w:szCs w:val="22"/>
                <w:lang w:val="en-GB"/>
              </w:rPr>
              <w:t>×</w:t>
            </w:r>
          </w:p>
        </w:tc>
        <w:tc>
          <w:tcPr>
            <w:tcW w:w="803" w:type="dxa"/>
            <w:noWrap/>
            <w:vAlign w:val="center"/>
          </w:tcPr>
          <w:p w:rsidR="00C42AF8" w:rsidRPr="00B92FA1" w:rsidRDefault="00C42AF8" w:rsidP="00CF43EF">
            <w:pPr>
              <w:jc w:val="center"/>
              <w:rPr>
                <w:lang w:val="en-GB"/>
              </w:rPr>
            </w:pPr>
            <w:r w:rsidRPr="00B92FA1">
              <w:rPr>
                <w:b/>
                <w:color w:val="FF0000"/>
                <w:sz w:val="22"/>
                <w:szCs w:val="22"/>
                <w:lang w:val="en-GB"/>
              </w:rPr>
              <w:t>×</w:t>
            </w:r>
          </w:p>
        </w:tc>
      </w:tr>
      <w:tr w:rsidR="00C42AF8" w:rsidRPr="00B92FA1" w:rsidTr="002B6AA7">
        <w:trPr>
          <w:trHeight w:val="300"/>
          <w:jc w:val="center"/>
        </w:trPr>
        <w:tc>
          <w:tcPr>
            <w:tcW w:w="1279" w:type="dxa"/>
            <w:noWrap/>
            <w:vAlign w:val="center"/>
            <w:hideMark/>
          </w:tcPr>
          <w:p w:rsidR="00C42AF8" w:rsidRPr="00B92FA1" w:rsidRDefault="00C42AF8" w:rsidP="00CF43EF">
            <w:pPr>
              <w:rPr>
                <w:color w:val="000000" w:themeColor="text1"/>
                <w:lang w:val="en-GB"/>
              </w:rPr>
            </w:pPr>
            <w:r w:rsidRPr="00B92FA1">
              <w:rPr>
                <w:color w:val="000000" w:themeColor="text1"/>
                <w:sz w:val="22"/>
                <w:szCs w:val="22"/>
                <w:lang w:val="en-GB"/>
              </w:rPr>
              <w:t>Sweden</w:t>
            </w:r>
          </w:p>
        </w:tc>
        <w:tc>
          <w:tcPr>
            <w:tcW w:w="559" w:type="dxa"/>
            <w:noWrap/>
            <w:vAlign w:val="center"/>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tcPr>
          <w:p w:rsidR="00C42AF8" w:rsidRPr="00B92FA1" w:rsidRDefault="00C42AF8" w:rsidP="00CF43EF">
            <w:pPr>
              <w:jc w:val="center"/>
              <w:rPr>
                <w:lang w:val="en-GB"/>
              </w:rPr>
            </w:pPr>
            <w:r w:rsidRPr="00B92FA1">
              <w:rPr>
                <w:b/>
                <w:color w:val="FF0000"/>
                <w:sz w:val="22"/>
                <w:szCs w:val="22"/>
                <w:lang w:val="en-GB"/>
              </w:rPr>
              <w:t>×</w:t>
            </w:r>
          </w:p>
        </w:tc>
        <w:tc>
          <w:tcPr>
            <w:tcW w:w="1560" w:type="dxa"/>
            <w:noWrap/>
            <w:vAlign w:val="center"/>
          </w:tcPr>
          <w:p w:rsidR="00C42AF8" w:rsidRPr="00B92FA1" w:rsidRDefault="00C42AF8" w:rsidP="00CF43EF">
            <w:pPr>
              <w:jc w:val="center"/>
              <w:rPr>
                <w:lang w:val="en-GB"/>
              </w:rPr>
            </w:pPr>
            <w:r w:rsidRPr="00B92FA1">
              <w:rPr>
                <w:b/>
                <w:color w:val="FF0000"/>
                <w:sz w:val="22"/>
                <w:szCs w:val="22"/>
                <w:lang w:val="en-GB"/>
              </w:rPr>
              <w:t>×</w:t>
            </w:r>
          </w:p>
        </w:tc>
        <w:tc>
          <w:tcPr>
            <w:tcW w:w="803" w:type="dxa"/>
            <w:noWrap/>
            <w:vAlign w:val="center"/>
          </w:tcPr>
          <w:p w:rsidR="00C42AF8" w:rsidRPr="00B92FA1" w:rsidRDefault="00C42AF8" w:rsidP="00CF43EF">
            <w:pPr>
              <w:jc w:val="center"/>
              <w:rPr>
                <w:lang w:val="en-GB"/>
              </w:rPr>
            </w:pPr>
            <w:r w:rsidRPr="00B92FA1">
              <w:rPr>
                <w:color w:val="00B050"/>
                <w:sz w:val="22"/>
                <w:szCs w:val="22"/>
                <w:lang w:val="en-GB"/>
              </w:rPr>
              <w:sym w:font="Wingdings" w:char="F0FC"/>
            </w:r>
          </w:p>
        </w:tc>
      </w:tr>
      <w:tr w:rsidR="00C42AF8" w:rsidRPr="00B92FA1" w:rsidTr="002B6AA7">
        <w:trPr>
          <w:trHeight w:val="56"/>
          <w:jc w:val="center"/>
        </w:trPr>
        <w:tc>
          <w:tcPr>
            <w:tcW w:w="1279" w:type="dxa"/>
            <w:noWrap/>
            <w:vAlign w:val="center"/>
            <w:hideMark/>
          </w:tcPr>
          <w:p w:rsidR="00C42AF8" w:rsidRPr="00B92FA1" w:rsidRDefault="00C42AF8" w:rsidP="00CF43EF">
            <w:pPr>
              <w:rPr>
                <w:color w:val="000000" w:themeColor="text1"/>
                <w:lang w:val="en-GB"/>
              </w:rPr>
            </w:pPr>
            <w:r>
              <w:rPr>
                <w:color w:val="000000" w:themeColor="text1"/>
                <w:sz w:val="22"/>
                <w:szCs w:val="22"/>
                <w:lang w:val="en-GB"/>
              </w:rPr>
              <w:t>UK</w:t>
            </w:r>
          </w:p>
        </w:tc>
        <w:tc>
          <w:tcPr>
            <w:tcW w:w="559" w:type="dxa"/>
            <w:noWrap/>
            <w:vAlign w:val="center"/>
          </w:tcPr>
          <w:p w:rsidR="00C42AF8" w:rsidRPr="00B92FA1" w:rsidRDefault="00C42AF8" w:rsidP="00CF43EF">
            <w:pPr>
              <w:jc w:val="center"/>
              <w:rPr>
                <w:lang w:val="en-GB"/>
              </w:rPr>
            </w:pPr>
            <w:r w:rsidRPr="00B92FA1">
              <w:rPr>
                <w:color w:val="00B050"/>
                <w:sz w:val="22"/>
                <w:szCs w:val="22"/>
                <w:lang w:val="en-GB"/>
              </w:rPr>
              <w:sym w:font="Wingdings" w:char="F0FC"/>
            </w:r>
          </w:p>
        </w:tc>
        <w:tc>
          <w:tcPr>
            <w:tcW w:w="1519" w:type="dxa"/>
            <w:noWrap/>
            <w:vAlign w:val="center"/>
          </w:tcPr>
          <w:p w:rsidR="00C42AF8" w:rsidRPr="00B92FA1" w:rsidRDefault="00C42AF8" w:rsidP="00CF43EF">
            <w:pPr>
              <w:jc w:val="center"/>
              <w:rPr>
                <w:lang w:val="en-GB"/>
              </w:rPr>
            </w:pPr>
            <w:r w:rsidRPr="00B92FA1">
              <w:rPr>
                <w:b/>
                <w:color w:val="FF0000"/>
                <w:sz w:val="22"/>
                <w:szCs w:val="22"/>
                <w:lang w:val="en-GB"/>
              </w:rPr>
              <w:t>×</w:t>
            </w:r>
          </w:p>
        </w:tc>
        <w:tc>
          <w:tcPr>
            <w:tcW w:w="1560" w:type="dxa"/>
            <w:noWrap/>
            <w:vAlign w:val="center"/>
          </w:tcPr>
          <w:p w:rsidR="00C42AF8" w:rsidRPr="00B92FA1" w:rsidRDefault="00C42AF8" w:rsidP="00CF43EF">
            <w:pPr>
              <w:jc w:val="center"/>
              <w:rPr>
                <w:lang w:val="en-GB"/>
              </w:rPr>
            </w:pPr>
            <w:r w:rsidRPr="00B92FA1">
              <w:rPr>
                <w:b/>
                <w:color w:val="FF0000"/>
                <w:sz w:val="22"/>
                <w:szCs w:val="22"/>
                <w:lang w:val="en-GB"/>
              </w:rPr>
              <w:t>×</w:t>
            </w:r>
          </w:p>
        </w:tc>
        <w:tc>
          <w:tcPr>
            <w:tcW w:w="803" w:type="dxa"/>
            <w:noWrap/>
            <w:vAlign w:val="center"/>
          </w:tcPr>
          <w:p w:rsidR="00C42AF8" w:rsidRPr="00B92FA1" w:rsidRDefault="00C42AF8" w:rsidP="00CF43EF">
            <w:pPr>
              <w:jc w:val="center"/>
              <w:rPr>
                <w:lang w:val="en-GB"/>
              </w:rPr>
            </w:pPr>
            <w:r w:rsidRPr="00B92FA1">
              <w:rPr>
                <w:color w:val="00B050"/>
                <w:sz w:val="22"/>
                <w:szCs w:val="22"/>
                <w:lang w:val="en-GB"/>
              </w:rPr>
              <w:sym w:font="Wingdings" w:char="F0FC"/>
            </w:r>
          </w:p>
        </w:tc>
      </w:tr>
    </w:tbl>
    <w:p w:rsidR="007C64B4" w:rsidRPr="007C64B4" w:rsidRDefault="007C64B4" w:rsidP="00AA3324">
      <w:pPr>
        <w:pStyle w:val="Lgende"/>
        <w:jc w:val="center"/>
        <w:rPr>
          <w:b w:val="0"/>
          <w:color w:val="auto"/>
          <w:sz w:val="20"/>
          <w:szCs w:val="20"/>
          <w:lang w:val="en-GB"/>
        </w:rPr>
      </w:pPr>
      <w:r w:rsidRPr="007C64B4">
        <w:rPr>
          <w:b w:val="0"/>
          <w:color w:val="auto"/>
          <w:sz w:val="20"/>
          <w:szCs w:val="20"/>
          <w:lang w:val="en-US"/>
        </w:rPr>
        <w:t xml:space="preserve">Table </w:t>
      </w:r>
      <w:r w:rsidRPr="007C64B4">
        <w:rPr>
          <w:b w:val="0"/>
          <w:color w:val="auto"/>
          <w:sz w:val="20"/>
          <w:szCs w:val="20"/>
        </w:rPr>
        <w:fldChar w:fldCharType="begin"/>
      </w:r>
      <w:r w:rsidRPr="007C64B4">
        <w:rPr>
          <w:b w:val="0"/>
          <w:color w:val="auto"/>
          <w:sz w:val="20"/>
          <w:szCs w:val="20"/>
          <w:lang w:val="en-US"/>
        </w:rPr>
        <w:instrText xml:space="preserve"> SEQ Table \* ARABIC </w:instrText>
      </w:r>
      <w:r w:rsidRPr="007C64B4">
        <w:rPr>
          <w:b w:val="0"/>
          <w:color w:val="auto"/>
          <w:sz w:val="20"/>
          <w:szCs w:val="20"/>
        </w:rPr>
        <w:fldChar w:fldCharType="separate"/>
      </w:r>
      <w:r w:rsidR="0099201F">
        <w:rPr>
          <w:b w:val="0"/>
          <w:noProof/>
          <w:color w:val="auto"/>
          <w:sz w:val="20"/>
          <w:szCs w:val="20"/>
          <w:lang w:val="en-US"/>
        </w:rPr>
        <w:t>5</w:t>
      </w:r>
      <w:r w:rsidRPr="007C64B4">
        <w:rPr>
          <w:b w:val="0"/>
          <w:color w:val="auto"/>
          <w:sz w:val="20"/>
          <w:szCs w:val="20"/>
        </w:rPr>
        <w:fldChar w:fldCharType="end"/>
      </w:r>
      <w:r w:rsidRPr="007C64B4">
        <w:rPr>
          <w:b w:val="0"/>
          <w:color w:val="auto"/>
          <w:sz w:val="20"/>
          <w:szCs w:val="20"/>
          <w:lang w:val="en-GB"/>
        </w:rPr>
        <w:t xml:space="preserve">: Overview of market structure for passenger stations in the </w:t>
      </w:r>
      <w:r w:rsidR="00AA3324">
        <w:rPr>
          <w:b w:val="0"/>
          <w:color w:val="auto"/>
          <w:sz w:val="20"/>
          <w:szCs w:val="20"/>
          <w:lang w:val="en-GB"/>
        </w:rPr>
        <w:br/>
      </w:r>
      <w:r w:rsidRPr="007C64B4">
        <w:rPr>
          <w:b w:val="0"/>
          <w:color w:val="auto"/>
          <w:sz w:val="20"/>
          <w:szCs w:val="20"/>
          <w:lang w:val="en-GB"/>
        </w:rPr>
        <w:t xml:space="preserve">different </w:t>
      </w:r>
      <w:r w:rsidR="00AA3324">
        <w:rPr>
          <w:b w:val="0"/>
          <w:color w:val="auto"/>
          <w:sz w:val="20"/>
          <w:szCs w:val="20"/>
          <w:lang w:val="en-GB"/>
        </w:rPr>
        <w:t xml:space="preserve">IRG-Rail </w:t>
      </w:r>
      <w:r w:rsidRPr="007C64B4">
        <w:rPr>
          <w:b w:val="0"/>
          <w:color w:val="auto"/>
          <w:sz w:val="20"/>
          <w:szCs w:val="20"/>
          <w:lang w:val="en-GB"/>
        </w:rPr>
        <w:t>member states</w:t>
      </w:r>
    </w:p>
    <w:p w:rsidR="007C64B4" w:rsidRDefault="007C64B4" w:rsidP="006B0031">
      <w:pPr>
        <w:spacing w:after="120"/>
        <w:jc w:val="both"/>
        <w:rPr>
          <w:lang w:val="en-GB"/>
        </w:rPr>
      </w:pPr>
      <w:r>
        <w:rPr>
          <w:lang w:val="en-GB"/>
        </w:rPr>
        <w:t>The following table shows whether the cost of access to platforms is allocated to t</w:t>
      </w:r>
      <w:r w:rsidR="00C42AF8">
        <w:rPr>
          <w:lang w:val="en-GB"/>
        </w:rPr>
        <w:t>he infrastructure according to p</w:t>
      </w:r>
      <w:r>
        <w:rPr>
          <w:lang w:val="en-GB"/>
        </w:rPr>
        <w:t xml:space="preserve">oint 1 of the Annex II or to the service facility according to </w:t>
      </w:r>
      <w:r w:rsidR="00C42AF8">
        <w:rPr>
          <w:lang w:val="en-GB"/>
        </w:rPr>
        <w:t>p</w:t>
      </w:r>
      <w:r>
        <w:rPr>
          <w:lang w:val="en-GB"/>
        </w:rPr>
        <w:t>oint 2 of the Annex II.</w:t>
      </w:r>
    </w:p>
    <w:tbl>
      <w:tblPr>
        <w:tblStyle w:val="Grilledutableau"/>
        <w:tblW w:w="5303" w:type="dxa"/>
        <w:jc w:val="center"/>
        <w:tblLook w:val="04A0" w:firstRow="1" w:lastRow="0" w:firstColumn="1" w:lastColumn="0" w:noHBand="0" w:noVBand="1"/>
      </w:tblPr>
      <w:tblGrid>
        <w:gridCol w:w="1981"/>
        <w:gridCol w:w="1661"/>
        <w:gridCol w:w="1661"/>
      </w:tblGrid>
      <w:tr w:rsidR="007C64B4" w:rsidRPr="00282239" w:rsidTr="007C64B4">
        <w:trPr>
          <w:trHeight w:val="300"/>
          <w:jc w:val="center"/>
        </w:trPr>
        <w:tc>
          <w:tcPr>
            <w:tcW w:w="5303" w:type="dxa"/>
            <w:gridSpan w:val="3"/>
            <w:noWrap/>
            <w:hideMark/>
          </w:tcPr>
          <w:p w:rsidR="007C64B4" w:rsidRPr="00B92FA1" w:rsidRDefault="007C64B4" w:rsidP="007C64B4">
            <w:pPr>
              <w:keepNext/>
              <w:jc w:val="center"/>
              <w:rPr>
                <w:color w:val="000000" w:themeColor="text1"/>
                <w:lang w:val="en-GB"/>
              </w:rPr>
            </w:pPr>
            <w:r w:rsidRPr="00B92FA1">
              <w:rPr>
                <w:color w:val="000000" w:themeColor="text1"/>
                <w:sz w:val="22"/>
                <w:szCs w:val="22"/>
                <w:lang w:val="en-GB"/>
              </w:rPr>
              <w:lastRenderedPageBreak/>
              <w:t>Platforms</w:t>
            </w:r>
            <w:r>
              <w:rPr>
                <w:color w:val="000000" w:themeColor="text1"/>
                <w:sz w:val="22"/>
                <w:szCs w:val="22"/>
                <w:lang w:val="en-GB"/>
              </w:rPr>
              <w:t xml:space="preserve"> and tracks allocation to infrastructure or service facility</w:t>
            </w:r>
          </w:p>
        </w:tc>
      </w:tr>
      <w:tr w:rsidR="007C64B4" w:rsidRPr="00B92FA1" w:rsidTr="007C64B4">
        <w:trPr>
          <w:trHeight w:val="300"/>
          <w:jc w:val="center"/>
        </w:trPr>
        <w:tc>
          <w:tcPr>
            <w:tcW w:w="1981" w:type="dxa"/>
            <w:noWrap/>
            <w:hideMark/>
          </w:tcPr>
          <w:p w:rsidR="007C64B4" w:rsidRPr="00B92FA1" w:rsidRDefault="007C64B4" w:rsidP="007C64B4">
            <w:pPr>
              <w:keepNext/>
              <w:jc w:val="center"/>
              <w:rPr>
                <w:color w:val="000000"/>
                <w:lang w:val="en-GB"/>
              </w:rPr>
            </w:pPr>
          </w:p>
        </w:tc>
        <w:tc>
          <w:tcPr>
            <w:tcW w:w="1661" w:type="dxa"/>
            <w:noWrap/>
            <w:hideMark/>
          </w:tcPr>
          <w:p w:rsidR="007C64B4" w:rsidRPr="00B92FA1" w:rsidRDefault="007C64B4" w:rsidP="007C64B4">
            <w:pPr>
              <w:keepNext/>
              <w:jc w:val="center"/>
              <w:rPr>
                <w:color w:val="000000" w:themeColor="text1"/>
                <w:lang w:val="en-GB"/>
              </w:rPr>
            </w:pPr>
            <w:r>
              <w:rPr>
                <w:color w:val="000000" w:themeColor="text1"/>
                <w:sz w:val="22"/>
                <w:szCs w:val="22"/>
                <w:lang w:val="en-GB"/>
              </w:rPr>
              <w:t>Infrastructure</w:t>
            </w:r>
          </w:p>
        </w:tc>
        <w:tc>
          <w:tcPr>
            <w:tcW w:w="1661" w:type="dxa"/>
            <w:noWrap/>
            <w:hideMark/>
          </w:tcPr>
          <w:p w:rsidR="007C64B4" w:rsidRPr="00B92FA1" w:rsidRDefault="007C64B4" w:rsidP="007C64B4">
            <w:pPr>
              <w:keepNext/>
              <w:jc w:val="center"/>
              <w:rPr>
                <w:color w:val="000000" w:themeColor="text1"/>
                <w:lang w:val="en-GB"/>
              </w:rPr>
            </w:pPr>
            <w:r>
              <w:rPr>
                <w:color w:val="000000" w:themeColor="text1"/>
                <w:sz w:val="22"/>
                <w:szCs w:val="22"/>
                <w:lang w:val="en-GB"/>
              </w:rPr>
              <w:t>Service facility</w:t>
            </w: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Austria</w:t>
            </w:r>
            <w:r>
              <w:rPr>
                <w:rStyle w:val="Appelnotedebasdep"/>
                <w:color w:val="000000" w:themeColor="text1"/>
                <w:sz w:val="22"/>
                <w:szCs w:val="22"/>
                <w:lang w:val="en-GB"/>
              </w:rPr>
              <w:footnoteReference w:id="27"/>
            </w:r>
          </w:p>
        </w:tc>
        <w:tc>
          <w:tcPr>
            <w:tcW w:w="1661" w:type="dxa"/>
            <w:noWrap/>
            <w:hideMark/>
          </w:tcPr>
          <w:p w:rsidR="007C64B4" w:rsidRPr="00B92FA1" w:rsidRDefault="007C64B4" w:rsidP="007C64B4">
            <w:pPr>
              <w:keepNext/>
              <w:jc w:val="center"/>
              <w:rPr>
                <w:color w:val="000000"/>
                <w:lang w:val="en-GB"/>
              </w:rPr>
            </w:pPr>
          </w:p>
        </w:tc>
        <w:tc>
          <w:tcPr>
            <w:tcW w:w="1661" w:type="dxa"/>
            <w:noWrap/>
            <w:hideMark/>
          </w:tcPr>
          <w:p w:rsidR="007C64B4" w:rsidRPr="00B92FA1" w:rsidRDefault="007C64B4" w:rsidP="007C64B4">
            <w:pPr>
              <w:keepNext/>
              <w:jc w:val="center"/>
              <w:rPr>
                <w:lang w:val="en-GB"/>
              </w:rPr>
            </w:pPr>
            <w:r w:rsidRPr="00B92FA1">
              <w:rPr>
                <w:sz w:val="22"/>
                <w:szCs w:val="22"/>
                <w:lang w:val="en-GB"/>
              </w:rPr>
              <w:t>X</w:t>
            </w: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Belgium</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Bulgaria</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Croatia</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Finland</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France</w:t>
            </w:r>
          </w:p>
        </w:tc>
        <w:tc>
          <w:tcPr>
            <w:tcW w:w="1661" w:type="dxa"/>
            <w:noWrap/>
            <w:hideMark/>
          </w:tcPr>
          <w:p w:rsidR="007C64B4" w:rsidRPr="00B92FA1" w:rsidRDefault="007C64B4" w:rsidP="007C64B4">
            <w:pPr>
              <w:keepNext/>
              <w:jc w:val="center"/>
              <w:rPr>
                <w:color w:val="000000"/>
                <w:lang w:val="en-GB"/>
              </w:rPr>
            </w:pPr>
          </w:p>
        </w:tc>
        <w:tc>
          <w:tcPr>
            <w:tcW w:w="1661" w:type="dxa"/>
            <w:noWrap/>
            <w:hideMark/>
          </w:tcPr>
          <w:p w:rsidR="007C64B4" w:rsidRPr="00B92FA1" w:rsidRDefault="007C64B4" w:rsidP="007C64B4">
            <w:pPr>
              <w:keepNext/>
              <w:jc w:val="center"/>
              <w:rPr>
                <w:lang w:val="en-GB"/>
              </w:rPr>
            </w:pPr>
            <w:r w:rsidRPr="00B92FA1">
              <w:rPr>
                <w:sz w:val="22"/>
                <w:szCs w:val="22"/>
                <w:lang w:val="en-GB"/>
              </w:rPr>
              <w:t>X</w:t>
            </w:r>
            <w:r>
              <w:rPr>
                <w:rStyle w:val="Appelnotedebasdep"/>
                <w:sz w:val="22"/>
                <w:szCs w:val="22"/>
                <w:lang w:val="en-GB"/>
              </w:rPr>
              <w:footnoteReference w:id="28"/>
            </w: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Germany</w:t>
            </w:r>
            <w:r>
              <w:rPr>
                <w:rStyle w:val="Appelnotedebasdep"/>
                <w:color w:val="000000"/>
                <w:sz w:val="22"/>
                <w:szCs w:val="22"/>
                <w:lang w:val="en-GB"/>
              </w:rPr>
              <w:footnoteReference w:id="29"/>
            </w:r>
          </w:p>
        </w:tc>
        <w:tc>
          <w:tcPr>
            <w:tcW w:w="1661" w:type="dxa"/>
            <w:noWrap/>
            <w:hideMark/>
          </w:tcPr>
          <w:p w:rsidR="007C64B4" w:rsidRPr="00B92FA1" w:rsidRDefault="007C64B4" w:rsidP="007C64B4">
            <w:pPr>
              <w:keepNext/>
              <w:jc w:val="center"/>
              <w:rPr>
                <w:color w:val="000000"/>
                <w:lang w:val="en-GB"/>
              </w:rPr>
            </w:pPr>
            <w:r>
              <w:rPr>
                <w:color w:val="000000"/>
                <w:lang w:val="en-GB"/>
              </w:rPr>
              <w:t>X</w:t>
            </w:r>
          </w:p>
        </w:tc>
        <w:tc>
          <w:tcPr>
            <w:tcW w:w="1661" w:type="dxa"/>
            <w:noWrap/>
            <w:hideMark/>
          </w:tcPr>
          <w:p w:rsidR="007C64B4" w:rsidRPr="00B92FA1" w:rsidRDefault="007C64B4" w:rsidP="007C64B4">
            <w:pPr>
              <w:keepNext/>
              <w:jc w:val="center"/>
              <w:rPr>
                <w:lang w:val="en-GB"/>
              </w:rPr>
            </w:pPr>
            <w:r w:rsidRPr="00B92FA1">
              <w:rPr>
                <w:color w:val="000000"/>
                <w:sz w:val="22"/>
                <w:szCs w:val="22"/>
                <w:lang w:val="en-GB"/>
              </w:rPr>
              <w:t>X</w:t>
            </w: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Greece</w:t>
            </w:r>
          </w:p>
        </w:tc>
        <w:tc>
          <w:tcPr>
            <w:tcW w:w="1661" w:type="dxa"/>
            <w:noWrap/>
            <w:hideMark/>
          </w:tcPr>
          <w:p w:rsidR="007C64B4" w:rsidRPr="00B92FA1" w:rsidRDefault="007C64B4" w:rsidP="007C64B4">
            <w:pPr>
              <w:keepNext/>
              <w:jc w:val="center"/>
              <w:rPr>
                <w:color w:val="000000"/>
                <w:lang w:val="en-GB"/>
              </w:rPr>
            </w:pPr>
          </w:p>
        </w:tc>
        <w:tc>
          <w:tcPr>
            <w:tcW w:w="1661" w:type="dxa"/>
            <w:noWrap/>
            <w:hideMark/>
          </w:tcPr>
          <w:p w:rsidR="007C64B4" w:rsidRPr="00B92FA1" w:rsidRDefault="007C64B4" w:rsidP="007C64B4">
            <w:pPr>
              <w:keepNext/>
              <w:jc w:val="center"/>
              <w:rPr>
                <w:lang w:val="en-GB"/>
              </w:rPr>
            </w:pPr>
            <w:r>
              <w:rPr>
                <w:lang w:val="en-GB"/>
              </w:rPr>
              <w:t>X</w:t>
            </w: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Italy</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Pr>
                <w:color w:val="000000" w:themeColor="text1"/>
                <w:sz w:val="22"/>
                <w:szCs w:val="22"/>
                <w:lang w:val="en-GB"/>
              </w:rPr>
              <w:t>N</w:t>
            </w:r>
            <w:r w:rsidRPr="00B92FA1">
              <w:rPr>
                <w:color w:val="000000" w:themeColor="text1"/>
                <w:sz w:val="22"/>
                <w:szCs w:val="22"/>
                <w:lang w:val="en-GB"/>
              </w:rPr>
              <w:t>etherlands</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Norway</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Poland</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Slovenia</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Portugal</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tcPr>
          <w:p w:rsidR="007C64B4" w:rsidRPr="00B92FA1" w:rsidRDefault="007C64B4" w:rsidP="007C64B4">
            <w:pPr>
              <w:keepNext/>
              <w:rPr>
                <w:color w:val="000000" w:themeColor="text1"/>
                <w:lang w:val="en-GB"/>
              </w:rPr>
            </w:pPr>
            <w:r>
              <w:rPr>
                <w:color w:val="000000" w:themeColor="text1"/>
                <w:sz w:val="22"/>
                <w:szCs w:val="22"/>
                <w:lang w:val="en-GB"/>
              </w:rPr>
              <w:t>Romania</w:t>
            </w:r>
          </w:p>
        </w:tc>
        <w:tc>
          <w:tcPr>
            <w:tcW w:w="1661" w:type="dxa"/>
            <w:noWrap/>
          </w:tcPr>
          <w:p w:rsidR="007C64B4" w:rsidRPr="00B92FA1" w:rsidRDefault="007C64B4" w:rsidP="007C64B4">
            <w:pPr>
              <w:keepNext/>
              <w:jc w:val="center"/>
              <w:rPr>
                <w:color w:val="000000"/>
                <w:lang w:val="en-GB"/>
              </w:rPr>
            </w:pPr>
            <w:r>
              <w:rPr>
                <w:color w:val="000000"/>
                <w:sz w:val="22"/>
                <w:szCs w:val="22"/>
                <w:lang w:val="en-GB"/>
              </w:rPr>
              <w:t>X</w:t>
            </w:r>
          </w:p>
        </w:tc>
        <w:tc>
          <w:tcPr>
            <w:tcW w:w="1661" w:type="dxa"/>
            <w:noWrap/>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Spain</w:t>
            </w:r>
          </w:p>
        </w:tc>
        <w:tc>
          <w:tcPr>
            <w:tcW w:w="1661" w:type="dxa"/>
            <w:noWrap/>
            <w:hideMark/>
          </w:tcPr>
          <w:p w:rsidR="007C64B4" w:rsidRPr="00B92FA1" w:rsidRDefault="007C64B4" w:rsidP="007C64B4">
            <w:pPr>
              <w:keepNext/>
              <w:jc w:val="center"/>
              <w:rPr>
                <w:color w:val="000000"/>
                <w:lang w:val="en-GB"/>
              </w:rPr>
            </w:pPr>
          </w:p>
        </w:tc>
        <w:tc>
          <w:tcPr>
            <w:tcW w:w="1661" w:type="dxa"/>
            <w:noWrap/>
            <w:hideMark/>
          </w:tcPr>
          <w:p w:rsidR="007C64B4" w:rsidRPr="00B92FA1" w:rsidRDefault="007C64B4" w:rsidP="007C64B4">
            <w:pPr>
              <w:keepNext/>
              <w:jc w:val="center"/>
              <w:rPr>
                <w:lang w:val="en-GB"/>
              </w:rPr>
            </w:pPr>
            <w:r w:rsidRPr="00B92FA1">
              <w:rPr>
                <w:color w:val="000000"/>
                <w:sz w:val="22"/>
                <w:szCs w:val="22"/>
                <w:lang w:val="en-GB"/>
              </w:rPr>
              <w:t>X</w:t>
            </w: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sidRPr="00B92FA1">
              <w:rPr>
                <w:color w:val="000000" w:themeColor="text1"/>
                <w:sz w:val="22"/>
                <w:szCs w:val="22"/>
                <w:lang w:val="en-GB"/>
              </w:rPr>
              <w:t>Sweden</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r w:rsidR="007C64B4" w:rsidRPr="00B92FA1" w:rsidTr="007C64B4">
        <w:trPr>
          <w:trHeight w:val="300"/>
          <w:jc w:val="center"/>
        </w:trPr>
        <w:tc>
          <w:tcPr>
            <w:tcW w:w="1981" w:type="dxa"/>
            <w:noWrap/>
            <w:hideMark/>
          </w:tcPr>
          <w:p w:rsidR="007C64B4" w:rsidRPr="00B92FA1" w:rsidRDefault="007C64B4" w:rsidP="007C64B4">
            <w:pPr>
              <w:keepNext/>
              <w:rPr>
                <w:color w:val="000000" w:themeColor="text1"/>
                <w:lang w:val="en-GB"/>
              </w:rPr>
            </w:pPr>
            <w:r>
              <w:rPr>
                <w:color w:val="000000" w:themeColor="text1"/>
                <w:sz w:val="22"/>
                <w:szCs w:val="22"/>
                <w:lang w:val="en-GB"/>
              </w:rPr>
              <w:t>UK</w:t>
            </w:r>
          </w:p>
        </w:tc>
        <w:tc>
          <w:tcPr>
            <w:tcW w:w="1661" w:type="dxa"/>
            <w:noWrap/>
            <w:hideMark/>
          </w:tcPr>
          <w:p w:rsidR="007C64B4" w:rsidRPr="00B92FA1" w:rsidRDefault="007C64B4" w:rsidP="007C64B4">
            <w:pPr>
              <w:keepNext/>
              <w:jc w:val="center"/>
              <w:rPr>
                <w:color w:val="000000"/>
                <w:lang w:val="en-GB"/>
              </w:rPr>
            </w:pPr>
            <w:r w:rsidRPr="00B92FA1">
              <w:rPr>
                <w:color w:val="000000"/>
                <w:sz w:val="22"/>
                <w:szCs w:val="22"/>
                <w:lang w:val="en-GB"/>
              </w:rPr>
              <w:t>X</w:t>
            </w:r>
          </w:p>
        </w:tc>
        <w:tc>
          <w:tcPr>
            <w:tcW w:w="1661" w:type="dxa"/>
            <w:noWrap/>
            <w:hideMark/>
          </w:tcPr>
          <w:p w:rsidR="007C64B4" w:rsidRPr="00B92FA1" w:rsidRDefault="007C64B4" w:rsidP="007C64B4">
            <w:pPr>
              <w:keepNext/>
              <w:jc w:val="center"/>
              <w:rPr>
                <w:lang w:val="en-GB"/>
              </w:rPr>
            </w:pPr>
          </w:p>
        </w:tc>
      </w:tr>
    </w:tbl>
    <w:p w:rsidR="007C64B4" w:rsidRPr="00461895" w:rsidRDefault="007C64B4" w:rsidP="006B0031">
      <w:pPr>
        <w:keepNext/>
        <w:spacing w:after="120"/>
        <w:jc w:val="center"/>
        <w:rPr>
          <w:b/>
          <w:sz w:val="20"/>
          <w:lang w:val="en-GB"/>
        </w:rPr>
      </w:pPr>
      <w:r w:rsidRPr="00461895">
        <w:rPr>
          <w:sz w:val="20"/>
          <w:lang w:val="en-US"/>
        </w:rPr>
        <w:t xml:space="preserve">Table </w:t>
      </w:r>
      <w:r w:rsidRPr="00391138">
        <w:rPr>
          <w:b/>
          <w:sz w:val="20"/>
          <w:szCs w:val="20"/>
        </w:rPr>
        <w:fldChar w:fldCharType="begin"/>
      </w:r>
      <w:r w:rsidRPr="00391138">
        <w:rPr>
          <w:sz w:val="20"/>
          <w:szCs w:val="20"/>
          <w:lang w:val="en-US"/>
        </w:rPr>
        <w:instrText xml:space="preserve"> SEQ Table \* ARABIC </w:instrText>
      </w:r>
      <w:r w:rsidRPr="00391138">
        <w:rPr>
          <w:b/>
          <w:sz w:val="20"/>
          <w:szCs w:val="20"/>
        </w:rPr>
        <w:fldChar w:fldCharType="separate"/>
      </w:r>
      <w:r w:rsidR="0099201F">
        <w:rPr>
          <w:noProof/>
          <w:sz w:val="20"/>
          <w:szCs w:val="20"/>
          <w:lang w:val="en-US"/>
        </w:rPr>
        <w:t>6</w:t>
      </w:r>
      <w:r w:rsidRPr="00391138">
        <w:rPr>
          <w:b/>
          <w:sz w:val="20"/>
          <w:szCs w:val="20"/>
        </w:rPr>
        <w:fldChar w:fldCharType="end"/>
      </w:r>
      <w:r w:rsidRPr="00391138">
        <w:rPr>
          <w:sz w:val="20"/>
          <w:szCs w:val="20"/>
          <w:lang w:val="en-US"/>
        </w:rPr>
        <w:t>:</w:t>
      </w:r>
      <w:r w:rsidRPr="00461895">
        <w:rPr>
          <w:sz w:val="20"/>
          <w:lang w:val="en-US"/>
        </w:rPr>
        <w:t xml:space="preserve"> </w:t>
      </w:r>
      <w:r>
        <w:rPr>
          <w:sz w:val="20"/>
          <w:lang w:val="en-GB"/>
        </w:rPr>
        <w:t>Overview per country of the allocation of costs for platforms in passenger station</w:t>
      </w:r>
      <w:r w:rsidRPr="005B6A97">
        <w:rPr>
          <w:sz w:val="20"/>
          <w:lang w:val="en-GB"/>
        </w:rPr>
        <w:t xml:space="preserve"> </w:t>
      </w:r>
    </w:p>
    <w:p w:rsidR="007C64B4" w:rsidRDefault="007C64B4" w:rsidP="007C64B4">
      <w:pPr>
        <w:jc w:val="both"/>
        <w:rPr>
          <w:lang w:val="en-GB"/>
        </w:rPr>
      </w:pPr>
      <w:r w:rsidRPr="00B92FA1">
        <w:rPr>
          <w:lang w:val="en-GB"/>
        </w:rPr>
        <w:t xml:space="preserve">In </w:t>
      </w:r>
      <w:r>
        <w:rPr>
          <w:lang w:val="en-GB"/>
        </w:rPr>
        <w:t xml:space="preserve">most IRG-Rail members, like the UK, Belgium, Finland, Poland and Sweden, </w:t>
      </w:r>
      <w:r w:rsidRPr="00B92FA1">
        <w:rPr>
          <w:lang w:val="en-GB"/>
        </w:rPr>
        <w:t xml:space="preserve">the cost for </w:t>
      </w:r>
      <w:r>
        <w:rPr>
          <w:lang w:val="en-GB"/>
        </w:rPr>
        <w:t xml:space="preserve">access to </w:t>
      </w:r>
      <w:r w:rsidRPr="00B92FA1">
        <w:rPr>
          <w:lang w:val="en-GB"/>
        </w:rPr>
        <w:t xml:space="preserve">platforms </w:t>
      </w:r>
      <w:r>
        <w:rPr>
          <w:lang w:val="en-GB"/>
        </w:rPr>
        <w:t>is</w:t>
      </w:r>
      <w:r w:rsidRPr="00B92FA1">
        <w:rPr>
          <w:lang w:val="en-GB"/>
        </w:rPr>
        <w:t xml:space="preserve"> included in </w:t>
      </w:r>
      <w:r w:rsidR="00C42AF8">
        <w:rPr>
          <w:lang w:val="en-GB"/>
        </w:rPr>
        <w:t>p</w:t>
      </w:r>
      <w:r>
        <w:rPr>
          <w:lang w:val="en-GB"/>
        </w:rPr>
        <w:t>oint 1 of the Annex II</w:t>
      </w:r>
      <w:r w:rsidRPr="00B92FA1">
        <w:rPr>
          <w:lang w:val="en-GB"/>
        </w:rPr>
        <w:t xml:space="preserve"> </w:t>
      </w:r>
      <w:r>
        <w:rPr>
          <w:lang w:val="en-GB"/>
        </w:rPr>
        <w:t>(minimum access package)</w:t>
      </w:r>
      <w:r w:rsidRPr="00B92FA1">
        <w:rPr>
          <w:lang w:val="en-GB"/>
        </w:rPr>
        <w:t xml:space="preserve">. </w:t>
      </w:r>
      <w:r>
        <w:rPr>
          <w:lang w:val="en-GB"/>
        </w:rPr>
        <w:t>In contrast, in Austria, France, Germany, Greece and Spain,</w:t>
      </w:r>
      <w:r w:rsidRPr="00B92FA1">
        <w:rPr>
          <w:lang w:val="en-GB"/>
        </w:rPr>
        <w:t xml:space="preserve"> the platforms are </w:t>
      </w:r>
      <w:r>
        <w:rPr>
          <w:lang w:val="en-GB"/>
        </w:rPr>
        <w:t>considered, for the access requirements and the charging</w:t>
      </w:r>
      <w:r w:rsidR="00C42AF8">
        <w:rPr>
          <w:lang w:val="en-GB"/>
        </w:rPr>
        <w:t xml:space="preserve"> principles, to be relative to p</w:t>
      </w:r>
      <w:r>
        <w:rPr>
          <w:lang w:val="en-GB"/>
        </w:rPr>
        <w:t>oint 2 of the Annex II (service facility)</w:t>
      </w:r>
      <w:r w:rsidRPr="00B92FA1">
        <w:rPr>
          <w:lang w:val="en-GB"/>
        </w:rPr>
        <w:t>.</w:t>
      </w:r>
    </w:p>
    <w:p w:rsidR="007C64B4" w:rsidRDefault="007C64B4" w:rsidP="007C64B4">
      <w:pPr>
        <w:jc w:val="both"/>
        <w:rPr>
          <w:lang w:val="en-GB"/>
        </w:rPr>
      </w:pPr>
    </w:p>
    <w:p w:rsidR="007C64B4" w:rsidRDefault="007C64B4" w:rsidP="007C64B4">
      <w:pPr>
        <w:jc w:val="both"/>
        <w:rPr>
          <w:lang w:val="en-GB"/>
        </w:rPr>
      </w:pPr>
      <w:r w:rsidRPr="00B92FA1">
        <w:rPr>
          <w:lang w:val="en-GB"/>
        </w:rPr>
        <w:t xml:space="preserve">On the question of what does “cost of providing a service” mean in the </w:t>
      </w:r>
      <w:r>
        <w:rPr>
          <w:lang w:val="en-GB"/>
        </w:rPr>
        <w:t>majority of the IRG</w:t>
      </w:r>
      <w:r>
        <w:rPr>
          <w:lang w:val="en-GB"/>
        </w:rPr>
        <w:noBreakHyphen/>
        <w:t xml:space="preserve">Rail </w:t>
      </w:r>
      <w:r w:rsidRPr="00B92FA1">
        <w:rPr>
          <w:lang w:val="en-GB"/>
        </w:rPr>
        <w:t xml:space="preserve">member states, </w:t>
      </w:r>
      <w:r>
        <w:rPr>
          <w:lang w:val="en-GB"/>
        </w:rPr>
        <w:t>like</w:t>
      </w:r>
      <w:r w:rsidRPr="00B92FA1">
        <w:rPr>
          <w:lang w:val="en-GB"/>
        </w:rPr>
        <w:t xml:space="preserve"> </w:t>
      </w:r>
      <w:r>
        <w:rPr>
          <w:lang w:val="en-GB"/>
        </w:rPr>
        <w:t xml:space="preserve">in </w:t>
      </w:r>
      <w:r w:rsidRPr="00B92FA1">
        <w:rPr>
          <w:lang w:val="en-GB"/>
        </w:rPr>
        <w:t>Belgium, Finland, Greece, Norway, Sweden and the Netherlands</w:t>
      </w:r>
      <w:r>
        <w:rPr>
          <w:lang w:val="en-GB"/>
        </w:rPr>
        <w:t>,</w:t>
      </w:r>
      <w:r w:rsidRPr="00B92FA1">
        <w:rPr>
          <w:lang w:val="en-GB"/>
        </w:rPr>
        <w:t xml:space="preserve"> there is no legal definition of this </w:t>
      </w:r>
      <w:r>
        <w:rPr>
          <w:lang w:val="en-GB"/>
        </w:rPr>
        <w:t>concept</w:t>
      </w:r>
      <w:r w:rsidRPr="00B92FA1">
        <w:rPr>
          <w:lang w:val="en-GB"/>
        </w:rPr>
        <w:t xml:space="preserve"> in their national law. In Austria and Germany </w:t>
      </w:r>
      <w:r>
        <w:rPr>
          <w:lang w:val="en-GB"/>
        </w:rPr>
        <w:t xml:space="preserve">there is no legal definition of </w:t>
      </w:r>
      <w:r w:rsidRPr="00B92FA1">
        <w:rPr>
          <w:lang w:val="en-GB"/>
        </w:rPr>
        <w:t>this term</w:t>
      </w:r>
      <w:r>
        <w:rPr>
          <w:lang w:val="en-GB"/>
        </w:rPr>
        <w:t>, but</w:t>
      </w:r>
      <w:r w:rsidRPr="00B92FA1">
        <w:rPr>
          <w:lang w:val="en-GB"/>
        </w:rPr>
        <w:t xml:space="preserve"> </w:t>
      </w:r>
      <w:r>
        <w:rPr>
          <w:lang w:val="en-GB"/>
        </w:rPr>
        <w:t>it</w:t>
      </w:r>
      <w:r w:rsidRPr="00B92FA1">
        <w:rPr>
          <w:lang w:val="en-GB"/>
        </w:rPr>
        <w:t xml:space="preserve"> </w:t>
      </w:r>
      <w:r>
        <w:rPr>
          <w:lang w:val="en-GB"/>
        </w:rPr>
        <w:t xml:space="preserve">is understood </w:t>
      </w:r>
      <w:r>
        <w:rPr>
          <w:lang w:val="en-US"/>
        </w:rPr>
        <w:t xml:space="preserve">by regulatory bodies </w:t>
      </w:r>
      <w:r>
        <w:rPr>
          <w:lang w:val="en-GB"/>
        </w:rPr>
        <w:t>as referring to operational expenditures (</w:t>
      </w:r>
      <w:r w:rsidRPr="00B92FA1">
        <w:rPr>
          <w:lang w:val="en-GB"/>
        </w:rPr>
        <w:t>OPEX</w:t>
      </w:r>
      <w:r>
        <w:rPr>
          <w:lang w:val="en-GB"/>
        </w:rPr>
        <w:t>)</w:t>
      </w:r>
      <w:r w:rsidRPr="00B92FA1">
        <w:rPr>
          <w:lang w:val="en-GB"/>
        </w:rPr>
        <w:t xml:space="preserve"> and </w:t>
      </w:r>
      <w:r>
        <w:rPr>
          <w:lang w:val="en-GB"/>
        </w:rPr>
        <w:t>capital expenditures (</w:t>
      </w:r>
      <w:r w:rsidRPr="00B92FA1">
        <w:rPr>
          <w:lang w:val="en-GB"/>
        </w:rPr>
        <w:t>CAPEX</w:t>
      </w:r>
      <w:r>
        <w:rPr>
          <w:lang w:val="en-GB"/>
        </w:rPr>
        <w:t>)</w:t>
      </w:r>
      <w:r w:rsidRPr="00B92FA1">
        <w:rPr>
          <w:lang w:val="en-GB"/>
        </w:rPr>
        <w:t>. For France</w:t>
      </w:r>
      <w:r>
        <w:rPr>
          <w:lang w:val="en-GB"/>
        </w:rPr>
        <w:t>, decree n°2003-194 foresees that charges for passenger stations (</w:t>
      </w:r>
      <w:r w:rsidRPr="00B92FA1">
        <w:rPr>
          <w:lang w:val="en-GB"/>
        </w:rPr>
        <w:t xml:space="preserve">and </w:t>
      </w:r>
      <w:r>
        <w:rPr>
          <w:lang w:val="en-GB"/>
        </w:rPr>
        <w:t>the platforms) should be fixed in order to cover operating and maintenance costs, amortization and depreciation costs</w:t>
      </w:r>
      <w:r>
        <w:rPr>
          <w:rStyle w:val="Appelnotedebasdep"/>
          <w:lang w:val="en-GB"/>
        </w:rPr>
        <w:footnoteReference w:id="30"/>
      </w:r>
      <w:r>
        <w:rPr>
          <w:lang w:val="en-GB"/>
        </w:rPr>
        <w:t xml:space="preserve"> and the cost of capital.</w:t>
      </w:r>
      <w:r w:rsidRPr="00B92FA1">
        <w:rPr>
          <w:lang w:val="en-GB"/>
        </w:rPr>
        <w:t xml:space="preserve"> </w:t>
      </w:r>
      <w:r>
        <w:rPr>
          <w:lang w:val="en-GB"/>
        </w:rPr>
        <w:t xml:space="preserve">In </w:t>
      </w:r>
      <w:r w:rsidRPr="00B92FA1">
        <w:rPr>
          <w:lang w:val="en-GB"/>
        </w:rPr>
        <w:t xml:space="preserve">Croatia this means that all costs </w:t>
      </w:r>
      <w:r>
        <w:rPr>
          <w:lang w:val="en-GB"/>
        </w:rPr>
        <w:t xml:space="preserve">for which a link with the </w:t>
      </w:r>
      <w:r w:rsidRPr="00B92FA1">
        <w:rPr>
          <w:lang w:val="en-GB"/>
        </w:rPr>
        <w:t>service</w:t>
      </w:r>
      <w:r>
        <w:rPr>
          <w:lang w:val="en-GB"/>
        </w:rPr>
        <w:t xml:space="preserve"> </w:t>
      </w:r>
      <w:r>
        <w:rPr>
          <w:lang w:val="en-GB"/>
        </w:rPr>
        <w:lastRenderedPageBreak/>
        <w:t>provided</w:t>
      </w:r>
      <w:r w:rsidRPr="00B92FA1">
        <w:rPr>
          <w:lang w:val="en-GB"/>
        </w:rPr>
        <w:t xml:space="preserve"> are included. In Italy </w:t>
      </w:r>
      <w:r>
        <w:rPr>
          <w:lang w:val="en-GB"/>
        </w:rPr>
        <w:t>it</w:t>
      </w:r>
      <w:r w:rsidRPr="00B92FA1">
        <w:rPr>
          <w:lang w:val="en-GB"/>
        </w:rPr>
        <w:t xml:space="preserve"> is understood</w:t>
      </w:r>
      <w:r w:rsidR="001A0E0C">
        <w:rPr>
          <w:lang w:val="en-GB"/>
        </w:rPr>
        <w:t xml:space="preserve"> by the regulatory body</w:t>
      </w:r>
      <w:r w:rsidRPr="00B92FA1">
        <w:rPr>
          <w:lang w:val="en-GB"/>
        </w:rPr>
        <w:t xml:space="preserve"> as full</w:t>
      </w:r>
      <w:r>
        <w:rPr>
          <w:lang w:val="en-GB"/>
        </w:rPr>
        <w:t>y</w:t>
      </w:r>
      <w:r w:rsidRPr="00B92FA1">
        <w:rPr>
          <w:lang w:val="en-GB"/>
        </w:rPr>
        <w:t xml:space="preserve"> distributed costs</w:t>
      </w:r>
      <w:r w:rsidR="001A0E0C">
        <w:rPr>
          <w:rStyle w:val="Appelnotedebasdep"/>
          <w:lang w:val="en-GB"/>
        </w:rPr>
        <w:footnoteReference w:id="31"/>
      </w:r>
      <w:r w:rsidRPr="00B92FA1">
        <w:rPr>
          <w:lang w:val="en-GB"/>
        </w:rPr>
        <w:t>.</w:t>
      </w:r>
    </w:p>
    <w:p w:rsidR="006B0031" w:rsidRPr="00B92FA1" w:rsidRDefault="006B0031" w:rsidP="007C64B4">
      <w:pPr>
        <w:jc w:val="both"/>
        <w:rPr>
          <w:lang w:val="en-GB"/>
        </w:rPr>
      </w:pPr>
    </w:p>
    <w:p w:rsidR="007C64B4" w:rsidRDefault="007C64B4" w:rsidP="007C64B4">
      <w:pPr>
        <w:jc w:val="both"/>
        <w:rPr>
          <w:lang w:val="en-GB"/>
        </w:rPr>
      </w:pPr>
      <w:r w:rsidRPr="00B92FA1">
        <w:rPr>
          <w:lang w:val="en-GB"/>
        </w:rPr>
        <w:t xml:space="preserve">In </w:t>
      </w:r>
      <w:r>
        <w:rPr>
          <w:lang w:val="en-GB"/>
        </w:rPr>
        <w:t xml:space="preserve">France, </w:t>
      </w:r>
      <w:r w:rsidRPr="00B92FA1">
        <w:rPr>
          <w:lang w:val="en-GB"/>
        </w:rPr>
        <w:t xml:space="preserve">Italy </w:t>
      </w:r>
      <w:r>
        <w:rPr>
          <w:lang w:val="en-GB"/>
        </w:rPr>
        <w:t xml:space="preserve">and Germany </w:t>
      </w:r>
      <w:r w:rsidRPr="00B92FA1">
        <w:rPr>
          <w:lang w:val="en-GB"/>
        </w:rPr>
        <w:t>amortization, deprecation and the cost of capital are included in the CAPEX, while in Austria only depreciation and cost of capital are included. In Croatia no capital costs are included. In the Netherlands CAPEX also includes insurance costs.</w:t>
      </w:r>
    </w:p>
    <w:p w:rsidR="007C64B4" w:rsidRDefault="007C64B4" w:rsidP="007C64B4">
      <w:pPr>
        <w:jc w:val="both"/>
        <w:rPr>
          <w:lang w:val="en-GB"/>
        </w:rPr>
      </w:pPr>
    </w:p>
    <w:p w:rsidR="007C64B4" w:rsidRPr="00B92FA1" w:rsidRDefault="007C64B4" w:rsidP="007C64B4">
      <w:pPr>
        <w:jc w:val="both"/>
        <w:rPr>
          <w:lang w:val="en-GB"/>
        </w:rPr>
      </w:pPr>
      <w:r w:rsidRPr="00B92FA1">
        <w:rPr>
          <w:lang w:val="en-GB"/>
        </w:rPr>
        <w:t xml:space="preserve">In </w:t>
      </w:r>
      <w:r>
        <w:rPr>
          <w:lang w:val="en-GB"/>
        </w:rPr>
        <w:t xml:space="preserve">France, the UK and </w:t>
      </w:r>
      <w:r w:rsidRPr="00B92FA1">
        <w:rPr>
          <w:lang w:val="en-GB"/>
        </w:rPr>
        <w:t>Italy</w:t>
      </w:r>
      <w:r>
        <w:rPr>
          <w:lang w:val="en-GB"/>
        </w:rPr>
        <w:t>,</w:t>
      </w:r>
      <w:r w:rsidRPr="00B92FA1">
        <w:rPr>
          <w:lang w:val="en-GB"/>
        </w:rPr>
        <w:t xml:space="preserve"> </w:t>
      </w:r>
      <w:r>
        <w:rPr>
          <w:lang w:val="en-GB"/>
        </w:rPr>
        <w:t xml:space="preserve">the operational expenditure taken into account for the computation of charges includes </w:t>
      </w:r>
      <w:r w:rsidRPr="00B92FA1">
        <w:rPr>
          <w:lang w:val="en-GB"/>
        </w:rPr>
        <w:t>an efficiency target</w:t>
      </w:r>
      <w:r w:rsidR="005942A1">
        <w:rPr>
          <w:rStyle w:val="Appelnotedebasdep"/>
          <w:lang w:val="en-GB"/>
        </w:rPr>
        <w:footnoteReference w:id="32"/>
      </w:r>
      <w:r w:rsidRPr="00B92FA1">
        <w:rPr>
          <w:lang w:val="en-GB"/>
        </w:rPr>
        <w:t>.</w:t>
      </w:r>
      <w:r>
        <w:rPr>
          <w:lang w:val="en-GB"/>
        </w:rPr>
        <w:t xml:space="preserve"> In France, this efficiency target is determined by the passenger station operator SNCF Gares &amp; Connexions (for the buildings) and SNCF Réseau (for the platforms).</w:t>
      </w:r>
    </w:p>
    <w:p w:rsidR="007C64B4" w:rsidRPr="00B92FA1" w:rsidRDefault="007C64B4" w:rsidP="007C64B4">
      <w:pPr>
        <w:rPr>
          <w:lang w:val="en-GB"/>
        </w:rPr>
      </w:pPr>
    </w:p>
    <w:p w:rsidR="007C64B4" w:rsidRPr="00B92FA1" w:rsidRDefault="007C64B4" w:rsidP="007C64B4">
      <w:pPr>
        <w:numPr>
          <w:ilvl w:val="1"/>
          <w:numId w:val="33"/>
        </w:numPr>
        <w:spacing w:after="240"/>
        <w:jc w:val="both"/>
        <w:rPr>
          <w:b/>
          <w:bCs/>
          <w:color w:val="000000" w:themeColor="text1"/>
          <w:lang w:val="en-GB"/>
        </w:rPr>
      </w:pPr>
      <w:r w:rsidRPr="00B92FA1">
        <w:rPr>
          <w:b/>
          <w:bCs/>
          <w:color w:val="000000"/>
          <w:lang w:val="en-GB"/>
        </w:rPr>
        <w:t>Intermodal freight terminals</w:t>
      </w:r>
      <w:r w:rsidRPr="00B92FA1">
        <w:rPr>
          <w:b/>
          <w:color w:val="000000"/>
          <w:lang w:val="en-GB"/>
        </w:rPr>
        <w:tab/>
      </w:r>
    </w:p>
    <w:p w:rsidR="007C64B4" w:rsidRDefault="007C64B4" w:rsidP="007C64B4">
      <w:pPr>
        <w:spacing w:after="160" w:line="259" w:lineRule="auto"/>
        <w:jc w:val="both"/>
        <w:rPr>
          <w:lang w:val="en-GB"/>
        </w:rPr>
      </w:pPr>
      <w:r>
        <w:rPr>
          <w:lang w:val="en-GB"/>
        </w:rPr>
        <w:t>1</w:t>
      </w:r>
      <w:r w:rsidR="00E91B37">
        <w:rPr>
          <w:lang w:val="en-GB"/>
        </w:rPr>
        <w:t>4</w:t>
      </w:r>
      <w:r>
        <w:rPr>
          <w:lang w:val="en-GB"/>
        </w:rPr>
        <w:t xml:space="preserve"> </w:t>
      </w:r>
      <w:r w:rsidRPr="00B92FA1">
        <w:rPr>
          <w:lang w:val="en-GB"/>
        </w:rPr>
        <w:t>countries</w:t>
      </w:r>
      <w:r>
        <w:rPr>
          <w:lang w:val="en-GB"/>
        </w:rPr>
        <w:t xml:space="preserve"> answered </w:t>
      </w:r>
      <w:r w:rsidRPr="00B92FA1">
        <w:rPr>
          <w:lang w:val="en-GB"/>
        </w:rPr>
        <w:t xml:space="preserve">questions </w:t>
      </w:r>
      <w:r>
        <w:rPr>
          <w:lang w:val="en-GB"/>
        </w:rPr>
        <w:t>relating to</w:t>
      </w:r>
      <w:r w:rsidRPr="00B92FA1">
        <w:rPr>
          <w:lang w:val="en-GB"/>
        </w:rPr>
        <w:t xml:space="preserve"> freight terminals. In </w:t>
      </w:r>
      <w:r>
        <w:rPr>
          <w:lang w:val="en-GB"/>
        </w:rPr>
        <w:t>five</w:t>
      </w:r>
      <w:r w:rsidRPr="00B92FA1">
        <w:rPr>
          <w:lang w:val="en-GB"/>
        </w:rPr>
        <w:t xml:space="preserve"> countries, the ownership and management of the facility are </w:t>
      </w:r>
      <w:r>
        <w:rPr>
          <w:lang w:val="en-GB"/>
        </w:rPr>
        <w:t>split</w:t>
      </w:r>
      <w:r w:rsidRPr="00B92FA1">
        <w:rPr>
          <w:lang w:val="en-GB"/>
        </w:rPr>
        <w:t xml:space="preserve"> between the </w:t>
      </w:r>
      <w:r>
        <w:rPr>
          <w:lang w:val="en-GB"/>
        </w:rPr>
        <w:t>infrastructure manager</w:t>
      </w:r>
      <w:r w:rsidRPr="00B92FA1">
        <w:rPr>
          <w:lang w:val="en-GB"/>
        </w:rPr>
        <w:t xml:space="preserve"> and other operators. In five countries the incumbent </w:t>
      </w:r>
      <w:r>
        <w:rPr>
          <w:lang w:val="en-GB"/>
        </w:rPr>
        <w:t xml:space="preserve">operator </w:t>
      </w:r>
      <w:r w:rsidRPr="00B92FA1">
        <w:rPr>
          <w:lang w:val="en-GB"/>
        </w:rPr>
        <w:t>owns and operate</w:t>
      </w:r>
      <w:r>
        <w:rPr>
          <w:lang w:val="en-GB"/>
        </w:rPr>
        <w:t>s</w:t>
      </w:r>
      <w:r w:rsidRPr="00B92FA1">
        <w:rPr>
          <w:lang w:val="en-GB"/>
        </w:rPr>
        <w:t xml:space="preserve"> all the intermodal freight terminals. The market structure differs </w:t>
      </w:r>
      <w:r>
        <w:rPr>
          <w:lang w:val="en-GB"/>
        </w:rPr>
        <w:t>widely among</w:t>
      </w:r>
      <w:r w:rsidRPr="00B92FA1">
        <w:rPr>
          <w:lang w:val="en-GB"/>
        </w:rPr>
        <w:t xml:space="preserve"> </w:t>
      </w:r>
      <w:r>
        <w:rPr>
          <w:lang w:val="en-GB"/>
        </w:rPr>
        <w:t xml:space="preserve">IRG-Rail </w:t>
      </w:r>
      <w:r w:rsidRPr="00B92FA1">
        <w:rPr>
          <w:lang w:val="en-GB"/>
        </w:rPr>
        <w:t>member</w:t>
      </w:r>
      <w:r>
        <w:rPr>
          <w:lang w:val="en-GB"/>
        </w:rPr>
        <w:t xml:space="preserve">s. </w:t>
      </w:r>
      <w:r w:rsidRPr="00B92FA1">
        <w:rPr>
          <w:lang w:val="en-GB"/>
        </w:rPr>
        <w:t>While in some countries, like the Netherlands and Sweden, there is a competitive market, there are other member states where a duopoly exists, like in Croatia.</w:t>
      </w:r>
    </w:p>
    <w:p w:rsidR="008A5D5C" w:rsidRDefault="007C64B4" w:rsidP="007C64B4">
      <w:pPr>
        <w:spacing w:after="240"/>
        <w:jc w:val="both"/>
        <w:rPr>
          <w:lang w:val="en-GB"/>
        </w:rPr>
      </w:pPr>
      <w:r>
        <w:rPr>
          <w:lang w:val="en-GB"/>
        </w:rPr>
        <w:t>The following table shows the characteristics of the operators of intermodal freight terminals across IRG-Rail members. It highlights that, in most cases, intermodal freight terminals are neither operated by an infrastructure manager nor by the incumbent operator.</w:t>
      </w:r>
    </w:p>
    <w:p w:rsidR="008A5D5C" w:rsidRDefault="008A5D5C">
      <w:pPr>
        <w:rPr>
          <w:lang w:val="en-GB"/>
        </w:rPr>
      </w:pPr>
      <w:r>
        <w:rPr>
          <w:lang w:val="en-GB"/>
        </w:rPr>
        <w:br w:type="page"/>
      </w:r>
    </w:p>
    <w:tbl>
      <w:tblPr>
        <w:tblStyle w:val="Grilledutableau"/>
        <w:tblW w:w="6210" w:type="dxa"/>
        <w:jc w:val="center"/>
        <w:tblLook w:val="04A0" w:firstRow="1" w:lastRow="0" w:firstColumn="1" w:lastColumn="0" w:noHBand="0" w:noVBand="1"/>
      </w:tblPr>
      <w:tblGrid>
        <w:gridCol w:w="1397"/>
        <w:gridCol w:w="1531"/>
        <w:gridCol w:w="1701"/>
        <w:gridCol w:w="1581"/>
      </w:tblGrid>
      <w:tr w:rsidR="007C64B4" w:rsidRPr="00B92FA1" w:rsidTr="007C64B4">
        <w:trPr>
          <w:trHeight w:val="300"/>
          <w:jc w:val="center"/>
        </w:trPr>
        <w:tc>
          <w:tcPr>
            <w:tcW w:w="6210" w:type="dxa"/>
            <w:gridSpan w:val="4"/>
          </w:tcPr>
          <w:p w:rsidR="007C64B4" w:rsidRPr="00B92FA1" w:rsidRDefault="007C64B4" w:rsidP="007C64B4">
            <w:pPr>
              <w:jc w:val="center"/>
              <w:rPr>
                <w:color w:val="000000"/>
                <w:lang w:val="en-GB"/>
              </w:rPr>
            </w:pPr>
            <w:r w:rsidRPr="00B92FA1">
              <w:rPr>
                <w:color w:val="000000"/>
                <w:sz w:val="22"/>
                <w:szCs w:val="22"/>
                <w:lang w:val="en-GB"/>
              </w:rPr>
              <w:lastRenderedPageBreak/>
              <w:t>Intermodal freight terminal operator</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p>
        </w:tc>
        <w:tc>
          <w:tcPr>
            <w:tcW w:w="1531" w:type="dxa"/>
            <w:noWrap/>
            <w:hideMark/>
          </w:tcPr>
          <w:p w:rsidR="007C64B4" w:rsidRPr="00B92FA1" w:rsidRDefault="007C64B4" w:rsidP="007C64B4">
            <w:pPr>
              <w:jc w:val="center"/>
              <w:rPr>
                <w:color w:val="000000"/>
                <w:lang w:val="en-GB"/>
              </w:rPr>
            </w:pPr>
            <w:r w:rsidRPr="00B92FA1">
              <w:rPr>
                <w:color w:val="000000"/>
                <w:sz w:val="22"/>
                <w:szCs w:val="22"/>
                <w:lang w:val="en-GB"/>
              </w:rPr>
              <w:t>IM</w:t>
            </w:r>
          </w:p>
        </w:tc>
        <w:tc>
          <w:tcPr>
            <w:tcW w:w="1701" w:type="dxa"/>
          </w:tcPr>
          <w:p w:rsidR="007C64B4" w:rsidRPr="00461895" w:rsidRDefault="007C64B4" w:rsidP="007C64B4">
            <w:pPr>
              <w:jc w:val="center"/>
              <w:rPr>
                <w:color w:val="000000"/>
                <w:sz w:val="22"/>
                <w:lang w:val="en-GB"/>
              </w:rPr>
            </w:pPr>
            <w:r w:rsidRPr="0090368E">
              <w:rPr>
                <w:color w:val="000000"/>
                <w:sz w:val="22"/>
                <w:szCs w:val="22"/>
                <w:lang w:val="en-GB"/>
              </w:rPr>
              <w:t>RU incumbent</w:t>
            </w:r>
          </w:p>
        </w:tc>
        <w:tc>
          <w:tcPr>
            <w:tcW w:w="1581" w:type="dxa"/>
            <w:noWrap/>
            <w:hideMark/>
          </w:tcPr>
          <w:p w:rsidR="007C64B4" w:rsidRPr="00B92FA1" w:rsidRDefault="007C64B4" w:rsidP="007C64B4">
            <w:pPr>
              <w:jc w:val="center"/>
              <w:rPr>
                <w:color w:val="000000"/>
                <w:lang w:val="en-GB"/>
              </w:rPr>
            </w:pPr>
            <w:r w:rsidRPr="00B92FA1">
              <w:rPr>
                <w:color w:val="000000"/>
                <w:sz w:val="22"/>
                <w:szCs w:val="22"/>
                <w:lang w:val="en-GB"/>
              </w:rPr>
              <w:t>Other</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Austria</w:t>
            </w:r>
          </w:p>
        </w:tc>
        <w:tc>
          <w:tcPr>
            <w:tcW w:w="153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c>
          <w:tcPr>
            <w:tcW w:w="1701" w:type="dxa"/>
          </w:tcPr>
          <w:p w:rsidR="007C64B4" w:rsidRPr="00461895" w:rsidRDefault="007C64B4" w:rsidP="007C64B4">
            <w:pPr>
              <w:jc w:val="center"/>
              <w:rPr>
                <w:color w:val="000000"/>
                <w:sz w:val="22"/>
                <w:lang w:val="en-GB"/>
              </w:rPr>
            </w:pPr>
          </w:p>
        </w:tc>
        <w:tc>
          <w:tcPr>
            <w:tcW w:w="158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Croatia</w:t>
            </w:r>
          </w:p>
        </w:tc>
        <w:tc>
          <w:tcPr>
            <w:tcW w:w="1531" w:type="dxa"/>
            <w:noWrap/>
            <w:hideMark/>
          </w:tcPr>
          <w:p w:rsidR="007C64B4" w:rsidRPr="00B92FA1" w:rsidRDefault="007C64B4" w:rsidP="007C64B4">
            <w:pPr>
              <w:jc w:val="center"/>
              <w:rPr>
                <w:color w:val="000000"/>
                <w:lang w:val="en-GB"/>
              </w:rPr>
            </w:pPr>
          </w:p>
        </w:tc>
        <w:tc>
          <w:tcPr>
            <w:tcW w:w="1701" w:type="dxa"/>
          </w:tcPr>
          <w:p w:rsidR="007C64B4" w:rsidRPr="00461895" w:rsidRDefault="002D24CC" w:rsidP="007C64B4">
            <w:pPr>
              <w:jc w:val="center"/>
              <w:rPr>
                <w:color w:val="000000"/>
                <w:sz w:val="22"/>
                <w:lang w:val="en-GB"/>
              </w:rPr>
            </w:pPr>
            <w:r w:rsidRPr="00B92FA1">
              <w:rPr>
                <w:color w:val="000000"/>
                <w:sz w:val="22"/>
                <w:szCs w:val="22"/>
                <w:lang w:val="en-GB"/>
              </w:rPr>
              <w:t>X</w:t>
            </w:r>
          </w:p>
        </w:tc>
        <w:tc>
          <w:tcPr>
            <w:tcW w:w="158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France</w:t>
            </w:r>
          </w:p>
        </w:tc>
        <w:tc>
          <w:tcPr>
            <w:tcW w:w="1531" w:type="dxa"/>
            <w:noWrap/>
            <w:hideMark/>
          </w:tcPr>
          <w:p w:rsidR="007C64B4" w:rsidRPr="00B92FA1" w:rsidRDefault="007C64B4" w:rsidP="007C64B4">
            <w:pPr>
              <w:jc w:val="center"/>
              <w:rPr>
                <w:color w:val="000000"/>
                <w:lang w:val="en-GB"/>
              </w:rPr>
            </w:pPr>
          </w:p>
        </w:tc>
        <w:tc>
          <w:tcPr>
            <w:tcW w:w="1701" w:type="dxa"/>
          </w:tcPr>
          <w:p w:rsidR="007C64B4" w:rsidRPr="00461895" w:rsidRDefault="007C64B4" w:rsidP="007C64B4">
            <w:pPr>
              <w:jc w:val="center"/>
              <w:rPr>
                <w:color w:val="000000"/>
                <w:sz w:val="22"/>
                <w:lang w:val="en-GB"/>
              </w:rPr>
            </w:pPr>
          </w:p>
        </w:tc>
        <w:tc>
          <w:tcPr>
            <w:tcW w:w="1581"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Germany</w:t>
            </w:r>
          </w:p>
        </w:tc>
        <w:tc>
          <w:tcPr>
            <w:tcW w:w="1531" w:type="dxa"/>
            <w:noWrap/>
            <w:hideMark/>
          </w:tcPr>
          <w:p w:rsidR="007C64B4" w:rsidRPr="00B92FA1" w:rsidRDefault="007C64B4" w:rsidP="007C64B4">
            <w:pPr>
              <w:jc w:val="center"/>
              <w:rPr>
                <w:color w:val="000000"/>
                <w:lang w:val="en-GB"/>
              </w:rPr>
            </w:pPr>
            <w:r>
              <w:rPr>
                <w:color w:val="000000"/>
                <w:lang w:val="en-GB"/>
              </w:rPr>
              <w:t>X</w:t>
            </w:r>
          </w:p>
        </w:tc>
        <w:tc>
          <w:tcPr>
            <w:tcW w:w="1701" w:type="dxa"/>
          </w:tcPr>
          <w:p w:rsidR="007C64B4" w:rsidRPr="00461895" w:rsidRDefault="007C64B4" w:rsidP="007C64B4">
            <w:pPr>
              <w:jc w:val="center"/>
              <w:rPr>
                <w:color w:val="000000"/>
                <w:sz w:val="22"/>
                <w:lang w:val="en-GB"/>
              </w:rPr>
            </w:pPr>
          </w:p>
        </w:tc>
        <w:tc>
          <w:tcPr>
            <w:tcW w:w="158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Italy</w:t>
            </w:r>
          </w:p>
        </w:tc>
        <w:tc>
          <w:tcPr>
            <w:tcW w:w="1531" w:type="dxa"/>
            <w:noWrap/>
            <w:hideMark/>
          </w:tcPr>
          <w:p w:rsidR="007C64B4" w:rsidRPr="00B92FA1" w:rsidRDefault="00845E86" w:rsidP="007C64B4">
            <w:pPr>
              <w:jc w:val="center"/>
              <w:rPr>
                <w:color w:val="000000"/>
                <w:lang w:val="en-GB"/>
              </w:rPr>
            </w:pPr>
            <w:r>
              <w:rPr>
                <w:color w:val="000000"/>
                <w:lang w:val="en-GB"/>
              </w:rPr>
              <w:t>X</w:t>
            </w:r>
          </w:p>
        </w:tc>
        <w:tc>
          <w:tcPr>
            <w:tcW w:w="1701" w:type="dxa"/>
          </w:tcPr>
          <w:p w:rsidR="007C64B4" w:rsidRPr="00461895" w:rsidRDefault="00845E86" w:rsidP="007C64B4">
            <w:pPr>
              <w:jc w:val="center"/>
              <w:rPr>
                <w:color w:val="000000"/>
                <w:sz w:val="22"/>
                <w:lang w:val="en-GB"/>
              </w:rPr>
            </w:pPr>
            <w:r>
              <w:rPr>
                <w:color w:val="000000"/>
                <w:lang w:val="en-GB"/>
              </w:rPr>
              <w:t>X</w:t>
            </w:r>
          </w:p>
        </w:tc>
        <w:tc>
          <w:tcPr>
            <w:tcW w:w="1581"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Netherlands</w:t>
            </w:r>
          </w:p>
        </w:tc>
        <w:tc>
          <w:tcPr>
            <w:tcW w:w="1531" w:type="dxa"/>
          </w:tcPr>
          <w:p w:rsidR="007C64B4" w:rsidRPr="00B92FA1" w:rsidRDefault="007C64B4" w:rsidP="007C64B4">
            <w:pPr>
              <w:jc w:val="center"/>
              <w:rPr>
                <w:color w:val="000000"/>
                <w:lang w:val="en-GB"/>
              </w:rPr>
            </w:pPr>
          </w:p>
        </w:tc>
        <w:tc>
          <w:tcPr>
            <w:tcW w:w="1701" w:type="dxa"/>
          </w:tcPr>
          <w:p w:rsidR="007C64B4" w:rsidRPr="00461895" w:rsidRDefault="007C64B4" w:rsidP="007C64B4">
            <w:pPr>
              <w:jc w:val="center"/>
              <w:rPr>
                <w:color w:val="000000"/>
                <w:sz w:val="22"/>
                <w:lang w:val="en-GB"/>
              </w:rPr>
            </w:pPr>
          </w:p>
        </w:tc>
        <w:tc>
          <w:tcPr>
            <w:tcW w:w="1581"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Norway</w:t>
            </w:r>
            <w:r>
              <w:rPr>
                <w:rStyle w:val="Appelnotedebasdep"/>
                <w:color w:val="000000"/>
                <w:sz w:val="22"/>
                <w:szCs w:val="22"/>
                <w:lang w:val="en-GB"/>
              </w:rPr>
              <w:footnoteReference w:id="33"/>
            </w:r>
          </w:p>
        </w:tc>
        <w:tc>
          <w:tcPr>
            <w:tcW w:w="153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1" w:type="dxa"/>
          </w:tcPr>
          <w:p w:rsidR="007C64B4" w:rsidRPr="00461895" w:rsidRDefault="007C64B4" w:rsidP="007C64B4">
            <w:pPr>
              <w:jc w:val="center"/>
              <w:rPr>
                <w:color w:val="000000"/>
                <w:sz w:val="22"/>
                <w:lang w:val="en-GB"/>
              </w:rPr>
            </w:pPr>
            <w:r>
              <w:rPr>
                <w:color w:val="000000"/>
                <w:sz w:val="22"/>
                <w:szCs w:val="22"/>
                <w:lang w:val="en-GB"/>
              </w:rPr>
              <w:t>X</w:t>
            </w:r>
          </w:p>
        </w:tc>
        <w:tc>
          <w:tcPr>
            <w:tcW w:w="1581"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Poland</w:t>
            </w:r>
          </w:p>
        </w:tc>
        <w:tc>
          <w:tcPr>
            <w:tcW w:w="1531" w:type="dxa"/>
            <w:noWrap/>
            <w:hideMark/>
          </w:tcPr>
          <w:p w:rsidR="007C64B4" w:rsidRPr="00B92FA1" w:rsidRDefault="007C64B4" w:rsidP="007C64B4">
            <w:pPr>
              <w:jc w:val="center"/>
              <w:rPr>
                <w:color w:val="000000"/>
                <w:lang w:val="en-GB"/>
              </w:rPr>
            </w:pPr>
          </w:p>
        </w:tc>
        <w:tc>
          <w:tcPr>
            <w:tcW w:w="1701" w:type="dxa"/>
          </w:tcPr>
          <w:p w:rsidR="007C64B4" w:rsidRPr="00461895" w:rsidRDefault="007C64B4" w:rsidP="007C64B4">
            <w:pPr>
              <w:jc w:val="center"/>
              <w:rPr>
                <w:color w:val="000000"/>
                <w:sz w:val="22"/>
                <w:lang w:val="en-GB"/>
              </w:rPr>
            </w:pPr>
          </w:p>
        </w:tc>
        <w:tc>
          <w:tcPr>
            <w:tcW w:w="158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Portugal</w:t>
            </w:r>
          </w:p>
        </w:tc>
        <w:tc>
          <w:tcPr>
            <w:tcW w:w="1531" w:type="dxa"/>
            <w:noWrap/>
            <w:hideMark/>
          </w:tcPr>
          <w:p w:rsidR="007C64B4" w:rsidRPr="00B92FA1" w:rsidRDefault="007C64B4" w:rsidP="007C64B4">
            <w:pPr>
              <w:jc w:val="center"/>
              <w:rPr>
                <w:color w:val="000000"/>
                <w:lang w:val="en-GB"/>
              </w:rPr>
            </w:pPr>
            <w:r>
              <w:rPr>
                <w:color w:val="000000"/>
                <w:lang w:val="en-GB"/>
              </w:rPr>
              <w:t>X</w:t>
            </w:r>
          </w:p>
        </w:tc>
        <w:tc>
          <w:tcPr>
            <w:tcW w:w="1701" w:type="dxa"/>
          </w:tcPr>
          <w:p w:rsidR="007C64B4" w:rsidRPr="00461895" w:rsidRDefault="007C64B4" w:rsidP="007C64B4">
            <w:pPr>
              <w:jc w:val="center"/>
              <w:rPr>
                <w:color w:val="000000"/>
                <w:sz w:val="22"/>
                <w:lang w:val="en-GB"/>
              </w:rPr>
            </w:pPr>
          </w:p>
        </w:tc>
        <w:tc>
          <w:tcPr>
            <w:tcW w:w="1581"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Romania</w:t>
            </w:r>
          </w:p>
        </w:tc>
        <w:tc>
          <w:tcPr>
            <w:tcW w:w="1531" w:type="dxa"/>
            <w:noWrap/>
            <w:hideMark/>
          </w:tcPr>
          <w:p w:rsidR="007C64B4" w:rsidRPr="00B92FA1" w:rsidRDefault="007C64B4" w:rsidP="007C64B4">
            <w:pPr>
              <w:jc w:val="center"/>
              <w:rPr>
                <w:color w:val="000000"/>
                <w:lang w:val="en-GB"/>
              </w:rPr>
            </w:pPr>
          </w:p>
        </w:tc>
        <w:tc>
          <w:tcPr>
            <w:tcW w:w="1701" w:type="dxa"/>
          </w:tcPr>
          <w:p w:rsidR="007C64B4" w:rsidRPr="00461895" w:rsidRDefault="007C64B4" w:rsidP="007C64B4">
            <w:pPr>
              <w:jc w:val="center"/>
              <w:rPr>
                <w:color w:val="000000"/>
                <w:sz w:val="22"/>
                <w:lang w:val="en-GB"/>
              </w:rPr>
            </w:pPr>
          </w:p>
        </w:tc>
        <w:tc>
          <w:tcPr>
            <w:tcW w:w="1581"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Slovenia</w:t>
            </w:r>
          </w:p>
        </w:tc>
        <w:tc>
          <w:tcPr>
            <w:tcW w:w="1531" w:type="dxa"/>
            <w:noWrap/>
            <w:hideMark/>
          </w:tcPr>
          <w:p w:rsidR="007C64B4" w:rsidRPr="00B92FA1" w:rsidRDefault="007C64B4" w:rsidP="007C64B4">
            <w:pPr>
              <w:jc w:val="center"/>
              <w:rPr>
                <w:color w:val="000000"/>
                <w:lang w:val="en-GB"/>
              </w:rPr>
            </w:pPr>
          </w:p>
        </w:tc>
        <w:tc>
          <w:tcPr>
            <w:tcW w:w="1701" w:type="dxa"/>
          </w:tcPr>
          <w:p w:rsidR="007C64B4" w:rsidRPr="00461895" w:rsidRDefault="007C64B4" w:rsidP="007C64B4">
            <w:pPr>
              <w:jc w:val="center"/>
              <w:rPr>
                <w:color w:val="000000"/>
                <w:sz w:val="22"/>
                <w:lang w:val="en-GB"/>
              </w:rPr>
            </w:pPr>
          </w:p>
        </w:tc>
        <w:tc>
          <w:tcPr>
            <w:tcW w:w="1581"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Spain</w:t>
            </w:r>
          </w:p>
        </w:tc>
        <w:tc>
          <w:tcPr>
            <w:tcW w:w="153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1" w:type="dxa"/>
          </w:tcPr>
          <w:p w:rsidR="007C64B4" w:rsidRPr="00461895" w:rsidRDefault="007C64B4" w:rsidP="007C64B4">
            <w:pPr>
              <w:jc w:val="center"/>
              <w:rPr>
                <w:color w:val="000000"/>
                <w:sz w:val="22"/>
                <w:lang w:val="en-GB"/>
              </w:rPr>
            </w:pPr>
          </w:p>
        </w:tc>
        <w:tc>
          <w:tcPr>
            <w:tcW w:w="1581" w:type="dxa"/>
            <w:noWrap/>
            <w:hideMark/>
          </w:tcPr>
          <w:p w:rsidR="007C64B4" w:rsidRPr="00B92FA1" w:rsidRDefault="007C64B4" w:rsidP="007C64B4">
            <w:pPr>
              <w:jc w:val="center"/>
              <w:rPr>
                <w:color w:val="000000"/>
                <w:lang w:val="en-GB"/>
              </w:rPr>
            </w:pPr>
            <w:r w:rsidRPr="00B92FA1">
              <w:rPr>
                <w:color w:val="000000"/>
                <w:sz w:val="22"/>
                <w:szCs w:val="22"/>
                <w:lang w:val="en-GB"/>
              </w:rPr>
              <w:t>X</w:t>
            </w:r>
            <w:r>
              <w:rPr>
                <w:rStyle w:val="Appelnotedebasdep"/>
                <w:color w:val="000000"/>
                <w:sz w:val="22"/>
                <w:szCs w:val="22"/>
                <w:lang w:val="en-GB"/>
              </w:rPr>
              <w:footnoteReference w:id="34"/>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sidRPr="00B92FA1">
              <w:rPr>
                <w:color w:val="000000"/>
                <w:sz w:val="22"/>
                <w:szCs w:val="22"/>
                <w:lang w:val="en-GB"/>
              </w:rPr>
              <w:t>Sweden</w:t>
            </w:r>
          </w:p>
        </w:tc>
        <w:tc>
          <w:tcPr>
            <w:tcW w:w="1531" w:type="dxa"/>
            <w:noWrap/>
            <w:hideMark/>
          </w:tcPr>
          <w:p w:rsidR="007C64B4" w:rsidRPr="00B92FA1" w:rsidRDefault="007C64B4" w:rsidP="007C64B4">
            <w:pPr>
              <w:jc w:val="center"/>
              <w:rPr>
                <w:color w:val="000000"/>
                <w:lang w:val="en-GB"/>
              </w:rPr>
            </w:pPr>
          </w:p>
        </w:tc>
        <w:tc>
          <w:tcPr>
            <w:tcW w:w="1701" w:type="dxa"/>
          </w:tcPr>
          <w:p w:rsidR="007C64B4" w:rsidRPr="00461895" w:rsidRDefault="007C64B4" w:rsidP="007C64B4">
            <w:pPr>
              <w:jc w:val="center"/>
              <w:rPr>
                <w:color w:val="000000"/>
                <w:sz w:val="22"/>
                <w:lang w:val="en-GB"/>
              </w:rPr>
            </w:pPr>
          </w:p>
        </w:tc>
        <w:tc>
          <w:tcPr>
            <w:tcW w:w="158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7C64B4">
        <w:trPr>
          <w:trHeight w:val="300"/>
          <w:jc w:val="center"/>
        </w:trPr>
        <w:tc>
          <w:tcPr>
            <w:tcW w:w="1397" w:type="dxa"/>
            <w:noWrap/>
            <w:hideMark/>
          </w:tcPr>
          <w:p w:rsidR="007C64B4" w:rsidRPr="00B92FA1" w:rsidRDefault="007C64B4" w:rsidP="007C64B4">
            <w:pPr>
              <w:rPr>
                <w:color w:val="000000"/>
                <w:lang w:val="en-GB"/>
              </w:rPr>
            </w:pPr>
            <w:r>
              <w:rPr>
                <w:color w:val="000000"/>
                <w:sz w:val="22"/>
                <w:szCs w:val="22"/>
                <w:lang w:val="en-GB"/>
              </w:rPr>
              <w:t>UK</w:t>
            </w:r>
          </w:p>
        </w:tc>
        <w:tc>
          <w:tcPr>
            <w:tcW w:w="1531" w:type="dxa"/>
          </w:tcPr>
          <w:p w:rsidR="007C64B4" w:rsidRPr="00B92FA1" w:rsidRDefault="007C64B4" w:rsidP="007C64B4">
            <w:pPr>
              <w:jc w:val="center"/>
              <w:rPr>
                <w:color w:val="000000"/>
                <w:lang w:val="en-GB"/>
              </w:rPr>
            </w:pPr>
          </w:p>
        </w:tc>
        <w:tc>
          <w:tcPr>
            <w:tcW w:w="1701" w:type="dxa"/>
          </w:tcPr>
          <w:p w:rsidR="007C64B4" w:rsidRPr="00461895" w:rsidRDefault="007C64B4" w:rsidP="007C64B4">
            <w:pPr>
              <w:jc w:val="center"/>
              <w:rPr>
                <w:color w:val="000000"/>
                <w:sz w:val="22"/>
                <w:lang w:val="en-GB"/>
              </w:rPr>
            </w:pPr>
          </w:p>
        </w:tc>
        <w:tc>
          <w:tcPr>
            <w:tcW w:w="1581" w:type="dxa"/>
            <w:noWrap/>
            <w:hideMark/>
          </w:tcPr>
          <w:p w:rsidR="007C64B4" w:rsidRPr="00B92FA1" w:rsidRDefault="007C64B4" w:rsidP="007C64B4">
            <w:pPr>
              <w:jc w:val="center"/>
              <w:rPr>
                <w:color w:val="000000"/>
                <w:lang w:val="en-GB"/>
              </w:rPr>
            </w:pPr>
            <w:r>
              <w:rPr>
                <w:color w:val="000000"/>
                <w:sz w:val="22"/>
                <w:szCs w:val="22"/>
                <w:lang w:val="en-GB"/>
              </w:rPr>
              <w:t>X</w:t>
            </w:r>
          </w:p>
        </w:tc>
      </w:tr>
    </w:tbl>
    <w:p w:rsidR="007C64B4" w:rsidRPr="000F1821" w:rsidRDefault="000F1821" w:rsidP="000F1821">
      <w:pPr>
        <w:pStyle w:val="Lgende"/>
        <w:jc w:val="center"/>
        <w:rPr>
          <w:b w:val="0"/>
          <w:color w:val="auto"/>
          <w:sz w:val="20"/>
          <w:szCs w:val="20"/>
          <w:lang w:val="en-GB"/>
        </w:rPr>
      </w:pPr>
      <w:r w:rsidRPr="000F1821">
        <w:rPr>
          <w:b w:val="0"/>
          <w:color w:val="auto"/>
          <w:sz w:val="20"/>
          <w:szCs w:val="20"/>
          <w:lang w:val="en-US"/>
        </w:rPr>
        <w:t xml:space="preserve">Table </w:t>
      </w:r>
      <w:r w:rsidRPr="000F1821">
        <w:rPr>
          <w:b w:val="0"/>
          <w:color w:val="auto"/>
          <w:sz w:val="20"/>
          <w:szCs w:val="20"/>
        </w:rPr>
        <w:fldChar w:fldCharType="begin"/>
      </w:r>
      <w:r w:rsidRPr="000F1821">
        <w:rPr>
          <w:b w:val="0"/>
          <w:color w:val="auto"/>
          <w:sz w:val="20"/>
          <w:szCs w:val="20"/>
          <w:lang w:val="en-US"/>
        </w:rPr>
        <w:instrText xml:space="preserve"> SEQ Table \* ARABIC </w:instrText>
      </w:r>
      <w:r w:rsidRPr="000F1821">
        <w:rPr>
          <w:b w:val="0"/>
          <w:color w:val="auto"/>
          <w:sz w:val="20"/>
          <w:szCs w:val="20"/>
        </w:rPr>
        <w:fldChar w:fldCharType="separate"/>
      </w:r>
      <w:r w:rsidR="0099201F">
        <w:rPr>
          <w:b w:val="0"/>
          <w:noProof/>
          <w:color w:val="auto"/>
          <w:sz w:val="20"/>
          <w:szCs w:val="20"/>
          <w:lang w:val="en-US"/>
        </w:rPr>
        <w:t>7</w:t>
      </w:r>
      <w:r w:rsidRPr="000F1821">
        <w:rPr>
          <w:b w:val="0"/>
          <w:color w:val="auto"/>
          <w:sz w:val="20"/>
          <w:szCs w:val="20"/>
        </w:rPr>
        <w:fldChar w:fldCharType="end"/>
      </w:r>
      <w:r w:rsidR="007C64B4" w:rsidRPr="000F1821">
        <w:rPr>
          <w:b w:val="0"/>
          <w:color w:val="auto"/>
          <w:sz w:val="20"/>
          <w:szCs w:val="20"/>
          <w:lang w:val="en-GB"/>
        </w:rPr>
        <w:t>: Overview of the operator of intermodal freight terminals</w:t>
      </w:r>
      <w:r w:rsidR="007C64B4" w:rsidRPr="000F1821">
        <w:rPr>
          <w:b w:val="0"/>
          <w:color w:val="auto"/>
          <w:sz w:val="20"/>
          <w:szCs w:val="20"/>
          <w:lang w:val="en-GB"/>
        </w:rPr>
        <w:br/>
        <w:t xml:space="preserve">in each </w:t>
      </w:r>
      <w:r w:rsidR="005942A1">
        <w:rPr>
          <w:b w:val="0"/>
          <w:color w:val="auto"/>
          <w:sz w:val="20"/>
          <w:szCs w:val="20"/>
          <w:lang w:val="en-GB"/>
        </w:rPr>
        <w:t xml:space="preserve">IRG-Rail </w:t>
      </w:r>
      <w:r w:rsidR="007C64B4" w:rsidRPr="000F1821">
        <w:rPr>
          <w:b w:val="0"/>
          <w:color w:val="auto"/>
          <w:sz w:val="20"/>
          <w:szCs w:val="20"/>
          <w:lang w:val="en-GB"/>
        </w:rPr>
        <w:t>member</w:t>
      </w:r>
      <w:r w:rsidR="00F718C3">
        <w:rPr>
          <w:b w:val="0"/>
          <w:color w:val="auto"/>
          <w:sz w:val="20"/>
          <w:szCs w:val="20"/>
          <w:lang w:val="en-GB"/>
        </w:rPr>
        <w:t xml:space="preserve"> state</w:t>
      </w:r>
    </w:p>
    <w:p w:rsidR="007C64B4" w:rsidRPr="00B92FA1" w:rsidRDefault="007C64B4" w:rsidP="007C64B4">
      <w:pPr>
        <w:spacing w:after="160" w:line="259" w:lineRule="auto"/>
        <w:jc w:val="both"/>
        <w:rPr>
          <w:lang w:val="en-GB"/>
        </w:rPr>
      </w:pPr>
      <w:r w:rsidRPr="00B92FA1">
        <w:rPr>
          <w:lang w:val="en-GB"/>
        </w:rPr>
        <w:t>T</w:t>
      </w:r>
      <w:r>
        <w:rPr>
          <w:lang w:val="en-GB"/>
        </w:rPr>
        <w:t>he cost for providing a service</w:t>
      </w:r>
      <w:r w:rsidRPr="00B92FA1">
        <w:rPr>
          <w:lang w:val="en-GB"/>
        </w:rPr>
        <w:t xml:space="preserve"> for intermodal freight terminals differ</w:t>
      </w:r>
      <w:r>
        <w:rPr>
          <w:lang w:val="en-GB"/>
        </w:rPr>
        <w:t>s</w:t>
      </w:r>
      <w:r w:rsidRPr="00B92FA1">
        <w:rPr>
          <w:lang w:val="en-GB"/>
        </w:rPr>
        <w:t xml:space="preserve"> </w:t>
      </w:r>
      <w:r>
        <w:rPr>
          <w:lang w:val="en-GB"/>
        </w:rPr>
        <w:t>among</w:t>
      </w:r>
      <w:r w:rsidRPr="00B92FA1">
        <w:rPr>
          <w:lang w:val="en-GB"/>
        </w:rPr>
        <w:t xml:space="preserve"> member states. In Austria, Croatia, Germany and Spain OPEX and CAPEX are used for determining the charges. Some countries, like Finland, France, the Netherlands and Sweden, have no </w:t>
      </w:r>
      <w:r w:rsidRPr="003A6848">
        <w:rPr>
          <w:lang w:val="en-GB"/>
        </w:rPr>
        <w:t>methods for determining charges in national law</w:t>
      </w:r>
      <w:r w:rsidRPr="00B92FA1">
        <w:rPr>
          <w:lang w:val="en-GB"/>
        </w:rPr>
        <w:t xml:space="preserve">. </w:t>
      </w:r>
      <w:r>
        <w:rPr>
          <w:lang w:val="en-GB"/>
        </w:rPr>
        <w:t xml:space="preserve">For instance, in France, </w:t>
      </w:r>
      <w:r w:rsidR="003A1B34">
        <w:rPr>
          <w:lang w:val="en-GB"/>
        </w:rPr>
        <w:t>A</w:t>
      </w:r>
      <w:r>
        <w:rPr>
          <w:lang w:val="en-GB"/>
        </w:rPr>
        <w:t xml:space="preserve">rticle 31 (7) is transposed without further explanations on how to evaluate the cost of providing this service except the need for the service facility operator to establish a link between the cost and the service provided. </w:t>
      </w:r>
      <w:r w:rsidRPr="00B92FA1">
        <w:rPr>
          <w:lang w:val="en-GB"/>
        </w:rPr>
        <w:t xml:space="preserve">In Italy, if the </w:t>
      </w:r>
      <w:r>
        <w:rPr>
          <w:lang w:val="en-GB"/>
        </w:rPr>
        <w:t>service facility operator</w:t>
      </w:r>
      <w:r w:rsidRPr="00B92FA1">
        <w:rPr>
          <w:lang w:val="en-GB"/>
        </w:rPr>
        <w:t xml:space="preserve"> has a significant market share, a full</w:t>
      </w:r>
      <w:r>
        <w:rPr>
          <w:lang w:val="en-GB"/>
        </w:rPr>
        <w:t>y</w:t>
      </w:r>
      <w:r w:rsidRPr="00B92FA1">
        <w:rPr>
          <w:lang w:val="en-GB"/>
        </w:rPr>
        <w:t xml:space="preserve"> distributed costing is used. </w:t>
      </w:r>
    </w:p>
    <w:p w:rsidR="007C64B4" w:rsidRPr="00225121" w:rsidRDefault="007C64B4" w:rsidP="007C64B4">
      <w:pPr>
        <w:ind w:left="1440"/>
        <w:jc w:val="both"/>
        <w:rPr>
          <w:b/>
          <w:bCs/>
          <w:color w:val="000000" w:themeColor="text1"/>
          <w:lang w:val="en-GB"/>
        </w:rPr>
      </w:pPr>
    </w:p>
    <w:p w:rsidR="007C64B4" w:rsidRPr="00B92FA1" w:rsidRDefault="007C64B4" w:rsidP="007C64B4">
      <w:pPr>
        <w:numPr>
          <w:ilvl w:val="1"/>
          <w:numId w:val="33"/>
        </w:numPr>
        <w:jc w:val="both"/>
        <w:rPr>
          <w:b/>
          <w:bCs/>
          <w:color w:val="000000" w:themeColor="text1"/>
          <w:lang w:val="en-GB"/>
        </w:rPr>
      </w:pPr>
      <w:r w:rsidRPr="00B92FA1">
        <w:rPr>
          <w:b/>
          <w:bCs/>
          <w:color w:val="000000"/>
          <w:lang w:val="en-GB"/>
        </w:rPr>
        <w:t>Marshalling yards with gravity hills</w:t>
      </w:r>
      <w:r w:rsidRPr="00B92FA1">
        <w:rPr>
          <w:b/>
          <w:color w:val="000000"/>
          <w:lang w:val="en-GB"/>
        </w:rPr>
        <w:tab/>
      </w:r>
    </w:p>
    <w:p w:rsidR="007C64B4" w:rsidRPr="00B92FA1" w:rsidRDefault="007C64B4" w:rsidP="007C64B4">
      <w:pPr>
        <w:ind w:left="1440"/>
        <w:jc w:val="both"/>
        <w:rPr>
          <w:b/>
          <w:bCs/>
          <w:color w:val="000000" w:themeColor="text1"/>
          <w:lang w:val="en-GB"/>
        </w:rPr>
      </w:pPr>
    </w:p>
    <w:p w:rsidR="007C64B4" w:rsidRPr="00B92FA1" w:rsidRDefault="007C64B4" w:rsidP="007C64B4">
      <w:pPr>
        <w:spacing w:after="160" w:line="259" w:lineRule="auto"/>
        <w:jc w:val="both"/>
        <w:rPr>
          <w:lang w:val="en-GB"/>
        </w:rPr>
      </w:pPr>
      <w:r w:rsidRPr="00B92FA1">
        <w:rPr>
          <w:lang w:val="en-GB"/>
        </w:rPr>
        <w:t xml:space="preserve">The questions for charges </w:t>
      </w:r>
      <w:r>
        <w:rPr>
          <w:lang w:val="en-GB"/>
        </w:rPr>
        <w:t>in relation to</w:t>
      </w:r>
      <w:r w:rsidRPr="00B92FA1">
        <w:rPr>
          <w:lang w:val="en-GB"/>
        </w:rPr>
        <w:t xml:space="preserve"> marshall</w:t>
      </w:r>
      <w:r>
        <w:rPr>
          <w:lang w:val="en-GB"/>
        </w:rPr>
        <w:t xml:space="preserve">ing yards were answered by 15 </w:t>
      </w:r>
      <w:r w:rsidRPr="00B92FA1">
        <w:rPr>
          <w:lang w:val="en-GB"/>
        </w:rPr>
        <w:t xml:space="preserve">countries. In nine countries the </w:t>
      </w:r>
      <w:r>
        <w:rPr>
          <w:lang w:val="en-GB"/>
        </w:rPr>
        <w:t>infrastructure manager</w:t>
      </w:r>
      <w:r w:rsidRPr="00B92FA1">
        <w:rPr>
          <w:lang w:val="en-GB"/>
        </w:rPr>
        <w:t xml:space="preserve"> is the only owner of marshalling yards with gravity hills. In around half </w:t>
      </w:r>
      <w:r>
        <w:rPr>
          <w:lang w:val="en-GB"/>
        </w:rPr>
        <w:t xml:space="preserve">of </w:t>
      </w:r>
      <w:r w:rsidRPr="00B92FA1">
        <w:rPr>
          <w:lang w:val="en-GB"/>
        </w:rPr>
        <w:t xml:space="preserve">the cases the </w:t>
      </w:r>
      <w:r>
        <w:rPr>
          <w:lang w:val="en-GB"/>
        </w:rPr>
        <w:t>infrastructure manager</w:t>
      </w:r>
      <w:r w:rsidRPr="00B92FA1">
        <w:rPr>
          <w:lang w:val="en-GB"/>
        </w:rPr>
        <w:t xml:space="preserve"> delegates the management of the facility </w:t>
      </w:r>
      <w:r>
        <w:rPr>
          <w:lang w:val="en-GB"/>
        </w:rPr>
        <w:t xml:space="preserve">or the supply of marshalling services </w:t>
      </w:r>
      <w:r w:rsidRPr="00B92FA1">
        <w:rPr>
          <w:lang w:val="en-GB"/>
        </w:rPr>
        <w:t xml:space="preserve">to the incumbent or to other </w:t>
      </w:r>
      <w:r>
        <w:rPr>
          <w:lang w:val="en-GB"/>
        </w:rPr>
        <w:t>railway undertakings</w:t>
      </w:r>
      <w:r w:rsidRPr="00B92FA1">
        <w:rPr>
          <w:lang w:val="en-GB"/>
        </w:rPr>
        <w:t xml:space="preserve">. </w:t>
      </w:r>
      <w:r>
        <w:rPr>
          <w:lang w:val="en-GB"/>
        </w:rPr>
        <w:t>Only in Germany not all marshalling yards with gravity hills are owned by the infrastructure manager.</w:t>
      </w:r>
    </w:p>
    <w:p w:rsidR="007C64B4" w:rsidRPr="00B92FA1" w:rsidRDefault="007C64B4" w:rsidP="007C64B4">
      <w:pPr>
        <w:spacing w:line="259" w:lineRule="auto"/>
        <w:jc w:val="center"/>
        <w:rPr>
          <w:lang w:val="en-GB"/>
        </w:rPr>
      </w:pPr>
      <w:r>
        <w:rPr>
          <w:noProof/>
          <w:lang w:val="en-GB" w:eastAsia="en-GB"/>
        </w:rPr>
        <w:lastRenderedPageBreak/>
        <w:drawing>
          <wp:inline distT="0" distB="0" distL="0" distR="0" wp14:anchorId="7A206B7D" wp14:editId="48C88CE6">
            <wp:extent cx="4572000" cy="3044190"/>
            <wp:effectExtent l="0" t="0" r="19050" b="22860"/>
            <wp:docPr id="1" name="Diagramm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6F5C1EC3-0B16-4324-A35E-4551CC0873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64B4" w:rsidRPr="00B92FA1" w:rsidRDefault="007C64B4" w:rsidP="007C64B4">
      <w:pPr>
        <w:spacing w:after="160" w:line="259" w:lineRule="auto"/>
        <w:jc w:val="center"/>
        <w:rPr>
          <w:sz w:val="20"/>
          <w:szCs w:val="20"/>
          <w:lang w:val="en-GB"/>
        </w:rPr>
      </w:pPr>
      <w:r w:rsidRPr="00B92FA1">
        <w:rPr>
          <w:sz w:val="20"/>
          <w:szCs w:val="20"/>
          <w:lang w:val="en-GB"/>
        </w:rPr>
        <w:t xml:space="preserve">Diagram </w:t>
      </w:r>
      <w:r>
        <w:rPr>
          <w:sz w:val="20"/>
          <w:szCs w:val="20"/>
          <w:lang w:val="en-GB"/>
        </w:rPr>
        <w:t>1</w:t>
      </w:r>
      <w:r w:rsidRPr="00B92FA1">
        <w:rPr>
          <w:sz w:val="20"/>
          <w:szCs w:val="20"/>
          <w:lang w:val="en-GB"/>
        </w:rPr>
        <w:t>:</w:t>
      </w:r>
      <w:r w:rsidRPr="00A411C2">
        <w:rPr>
          <w:sz w:val="20"/>
          <w:lang w:val="en-GB"/>
        </w:rPr>
        <w:t xml:space="preserve"> </w:t>
      </w:r>
      <w:r w:rsidRPr="00A96026">
        <w:rPr>
          <w:sz w:val="20"/>
          <w:lang w:val="en-GB"/>
        </w:rPr>
        <w:t>No of marshalling yards with gravity hills per country</w:t>
      </w:r>
    </w:p>
    <w:p w:rsidR="007C64B4" w:rsidRPr="00B92FA1" w:rsidRDefault="007C64B4" w:rsidP="007C64B4">
      <w:pPr>
        <w:spacing w:after="160" w:line="259" w:lineRule="auto"/>
        <w:jc w:val="both"/>
        <w:rPr>
          <w:lang w:val="en-GB"/>
        </w:rPr>
      </w:pPr>
      <w:r w:rsidRPr="00B92FA1">
        <w:rPr>
          <w:lang w:val="en-GB"/>
        </w:rPr>
        <w:t>F</w:t>
      </w:r>
      <w:r>
        <w:rPr>
          <w:lang w:val="en-GB"/>
        </w:rPr>
        <w:t>ive</w:t>
      </w:r>
      <w:r w:rsidRPr="00B92FA1">
        <w:rPr>
          <w:lang w:val="en-GB"/>
        </w:rPr>
        <w:t xml:space="preserve"> countries, Spain, </w:t>
      </w:r>
      <w:r w:rsidRPr="00282239">
        <w:rPr>
          <w:color w:val="000000" w:themeColor="text1"/>
          <w:lang w:val="en-GB"/>
        </w:rPr>
        <w:t>Italy</w:t>
      </w:r>
      <w:r w:rsidR="00786114" w:rsidRPr="00282239">
        <w:rPr>
          <w:rStyle w:val="Appelnotedebasdep"/>
          <w:color w:val="000000" w:themeColor="text1"/>
          <w:lang w:val="en-GB"/>
        </w:rPr>
        <w:footnoteReference w:id="35"/>
      </w:r>
      <w:r w:rsidRPr="00B92FA1">
        <w:rPr>
          <w:lang w:val="en-GB"/>
        </w:rPr>
        <w:t>, Norway</w:t>
      </w:r>
      <w:r>
        <w:rPr>
          <w:lang w:val="en-GB"/>
        </w:rPr>
        <w:t>, Portugal</w:t>
      </w:r>
      <w:r w:rsidRPr="00B92FA1">
        <w:rPr>
          <w:lang w:val="en-GB"/>
        </w:rPr>
        <w:t xml:space="preserve"> and the UK, do not have any marshalling yards with gravity hills. In four countries (Belgium, Croatia, Slovenia and the Netherlands) there is only one marshalling yard per state. In </w:t>
      </w:r>
      <w:r>
        <w:rPr>
          <w:lang w:val="en-GB"/>
        </w:rPr>
        <w:t xml:space="preserve">Finland, </w:t>
      </w:r>
      <w:r w:rsidRPr="00B92FA1">
        <w:rPr>
          <w:lang w:val="en-GB"/>
        </w:rPr>
        <w:t>France and Austria there are less than 10 yards. In Germany (71 yards)</w:t>
      </w:r>
      <w:r>
        <w:rPr>
          <w:lang w:val="en-GB"/>
        </w:rPr>
        <w:t>, in Poland (30 yards)</w:t>
      </w:r>
      <w:r w:rsidRPr="00B92FA1">
        <w:rPr>
          <w:lang w:val="en-GB"/>
        </w:rPr>
        <w:t xml:space="preserve"> and in Sweden (13 yards) more than 10</w:t>
      </w:r>
      <w:r>
        <w:rPr>
          <w:lang w:val="en-GB"/>
        </w:rPr>
        <w:t xml:space="preserve"> </w:t>
      </w:r>
      <w:r w:rsidRPr="00B92FA1">
        <w:rPr>
          <w:lang w:val="en-GB"/>
        </w:rPr>
        <w:t xml:space="preserve">yards exist. </w:t>
      </w:r>
    </w:p>
    <w:p w:rsidR="007C64B4" w:rsidRPr="00B92FA1" w:rsidRDefault="007C64B4" w:rsidP="007C64B4">
      <w:pPr>
        <w:spacing w:after="160" w:line="259" w:lineRule="auto"/>
        <w:jc w:val="both"/>
        <w:rPr>
          <w:lang w:val="en-GB"/>
        </w:rPr>
      </w:pPr>
      <w:r w:rsidRPr="00B92FA1">
        <w:rPr>
          <w:lang w:val="en-GB"/>
        </w:rPr>
        <w:t xml:space="preserve">In three countries, Austria, Croatia and Germany, OPEX und CAPEX are used for determining the cost of providing a service. In </w:t>
      </w:r>
      <w:r>
        <w:rPr>
          <w:lang w:val="en-GB"/>
        </w:rPr>
        <w:t>five</w:t>
      </w:r>
      <w:r w:rsidRPr="00B92FA1">
        <w:rPr>
          <w:lang w:val="en-GB"/>
        </w:rPr>
        <w:t xml:space="preserve"> countries</w:t>
      </w:r>
      <w:r>
        <w:rPr>
          <w:lang w:val="en-GB"/>
        </w:rPr>
        <w:t>, e.g. Finland, France, Sweden,</w:t>
      </w:r>
      <w:r w:rsidRPr="00B92FA1">
        <w:rPr>
          <w:lang w:val="en-GB"/>
        </w:rPr>
        <w:t xml:space="preserve"> </w:t>
      </w:r>
      <w:r>
        <w:rPr>
          <w:lang w:val="en-GB"/>
        </w:rPr>
        <w:t>there is no definition of methods and principles on how charges are calculated concerning marshalling yards with gravity hills</w:t>
      </w:r>
      <w:r w:rsidRPr="00B92FA1">
        <w:rPr>
          <w:lang w:val="en-GB"/>
        </w:rPr>
        <w:t>. In Austria all operati</w:t>
      </w:r>
      <w:r>
        <w:rPr>
          <w:lang w:val="en-GB"/>
        </w:rPr>
        <w:t>ng</w:t>
      </w:r>
      <w:r w:rsidRPr="00B92FA1">
        <w:rPr>
          <w:lang w:val="en-GB"/>
        </w:rPr>
        <w:t xml:space="preserve"> costs are used as OPEX. </w:t>
      </w:r>
      <w:r>
        <w:rPr>
          <w:lang w:val="en-GB"/>
        </w:rPr>
        <w:t xml:space="preserve">In France, charges are determined thanks to an historical level of turnover (2012) inflated since. </w:t>
      </w:r>
      <w:r w:rsidRPr="00B92FA1">
        <w:rPr>
          <w:lang w:val="en-GB"/>
        </w:rPr>
        <w:t xml:space="preserve">Croatia does not include any capital cost or reasonable profit in the </w:t>
      </w:r>
      <w:r>
        <w:rPr>
          <w:lang w:val="en-GB"/>
        </w:rPr>
        <w:t>determi</w:t>
      </w:r>
      <w:r w:rsidRPr="00B92FA1">
        <w:rPr>
          <w:lang w:val="en-GB"/>
        </w:rPr>
        <w:t>n</w:t>
      </w:r>
      <w:r>
        <w:rPr>
          <w:lang w:val="en-GB"/>
        </w:rPr>
        <w:t>ation</w:t>
      </w:r>
      <w:r w:rsidRPr="00B92FA1">
        <w:rPr>
          <w:lang w:val="en-GB"/>
        </w:rPr>
        <w:t xml:space="preserve"> of charges</w:t>
      </w:r>
      <w:r>
        <w:rPr>
          <w:lang w:val="en-GB"/>
        </w:rPr>
        <w:t xml:space="preserve"> of marshalling yards with gravity hills</w:t>
      </w:r>
      <w:r w:rsidRPr="00B92FA1">
        <w:rPr>
          <w:lang w:val="en-GB"/>
        </w:rPr>
        <w:t xml:space="preserve">. </w:t>
      </w:r>
      <w:r>
        <w:rPr>
          <w:lang w:val="en-GB"/>
        </w:rPr>
        <w:t xml:space="preserve">In the </w:t>
      </w:r>
      <w:r w:rsidRPr="00B92FA1">
        <w:rPr>
          <w:lang w:val="en-GB"/>
        </w:rPr>
        <w:t xml:space="preserve">Netherlands </w:t>
      </w:r>
      <w:r>
        <w:rPr>
          <w:lang w:val="en-GB"/>
        </w:rPr>
        <w:t>t</w:t>
      </w:r>
      <w:r w:rsidRPr="005622E4">
        <w:rPr>
          <w:lang w:val="en-GB"/>
        </w:rPr>
        <w:t>here is no information available on further principles or methods for calculating the cost of providing service</w:t>
      </w:r>
      <w:r>
        <w:rPr>
          <w:lang w:val="en-GB"/>
        </w:rPr>
        <w:t>s in such service facility</w:t>
      </w:r>
      <w:r w:rsidRPr="00B92FA1">
        <w:rPr>
          <w:lang w:val="en-GB"/>
        </w:rPr>
        <w:t>.</w:t>
      </w:r>
    </w:p>
    <w:p w:rsidR="007C64B4" w:rsidRDefault="007C64B4" w:rsidP="007C64B4">
      <w:pPr>
        <w:rPr>
          <w:b/>
          <w:bCs/>
          <w:color w:val="000000" w:themeColor="text1"/>
          <w:lang w:val="en-GB"/>
        </w:rPr>
      </w:pPr>
    </w:p>
    <w:p w:rsidR="007C64B4" w:rsidRPr="00B92FA1" w:rsidRDefault="007C64B4" w:rsidP="007C64B4">
      <w:pPr>
        <w:numPr>
          <w:ilvl w:val="1"/>
          <w:numId w:val="33"/>
        </w:numPr>
        <w:jc w:val="both"/>
        <w:rPr>
          <w:b/>
          <w:bCs/>
          <w:color w:val="000000" w:themeColor="text1"/>
          <w:lang w:val="en-GB"/>
        </w:rPr>
      </w:pPr>
      <w:r w:rsidRPr="00B92FA1">
        <w:rPr>
          <w:b/>
          <w:bCs/>
          <w:color w:val="000000" w:themeColor="text1"/>
          <w:lang w:val="en-GB"/>
        </w:rPr>
        <w:t>Maintenance facilities</w:t>
      </w:r>
    </w:p>
    <w:p w:rsidR="007C64B4" w:rsidRPr="00B92FA1" w:rsidRDefault="007C64B4" w:rsidP="007C64B4">
      <w:pPr>
        <w:ind w:left="1440"/>
        <w:jc w:val="both"/>
        <w:rPr>
          <w:b/>
          <w:color w:val="000000"/>
          <w:lang w:val="en-GB"/>
        </w:rPr>
      </w:pPr>
    </w:p>
    <w:p w:rsidR="008A5D5C" w:rsidRDefault="007C64B4" w:rsidP="000F1821">
      <w:pPr>
        <w:spacing w:after="240"/>
        <w:jc w:val="both"/>
        <w:rPr>
          <w:lang w:val="en-GB"/>
        </w:rPr>
      </w:pPr>
      <w:r w:rsidRPr="00B92FA1">
        <w:rPr>
          <w:lang w:val="en-GB"/>
        </w:rPr>
        <w:t xml:space="preserve">The questions concerning maintenance facilities were answered by </w:t>
      </w:r>
      <w:r>
        <w:rPr>
          <w:lang w:val="en-GB"/>
        </w:rPr>
        <w:t>16</w:t>
      </w:r>
      <w:r w:rsidRPr="00B92FA1">
        <w:rPr>
          <w:lang w:val="en-GB"/>
        </w:rPr>
        <w:t xml:space="preserve"> countries. In the majority of the countries the maintenance facilities are owned by the incumbent or another railway undertaking. In only a minority of countries the </w:t>
      </w:r>
      <w:r>
        <w:rPr>
          <w:lang w:val="en-GB"/>
        </w:rPr>
        <w:t>infrastructure manager</w:t>
      </w:r>
      <w:r w:rsidRPr="00B92FA1">
        <w:rPr>
          <w:lang w:val="en-GB"/>
        </w:rPr>
        <w:t xml:space="preserve"> is the only owner and operator of maintenance facilities.</w:t>
      </w:r>
      <w:r>
        <w:rPr>
          <w:lang w:val="en-GB"/>
        </w:rPr>
        <w:t xml:space="preserve"> The following table shows the governance of maintenance facilities in IRG-Rail members. </w:t>
      </w:r>
    </w:p>
    <w:p w:rsidR="008A5D5C" w:rsidRDefault="008A5D5C">
      <w:pPr>
        <w:rPr>
          <w:lang w:val="en-GB"/>
        </w:rPr>
      </w:pPr>
      <w:r>
        <w:rPr>
          <w:lang w:val="en-GB"/>
        </w:rPr>
        <w:br w:type="page"/>
      </w:r>
    </w:p>
    <w:tbl>
      <w:tblPr>
        <w:tblStyle w:val="Grilledutableau"/>
        <w:tblW w:w="6383" w:type="dxa"/>
        <w:jc w:val="center"/>
        <w:tblLook w:val="04A0" w:firstRow="1" w:lastRow="0" w:firstColumn="1" w:lastColumn="0" w:noHBand="0" w:noVBand="1"/>
      </w:tblPr>
      <w:tblGrid>
        <w:gridCol w:w="1279"/>
        <w:gridCol w:w="1701"/>
        <w:gridCol w:w="1701"/>
        <w:gridCol w:w="1702"/>
      </w:tblGrid>
      <w:tr w:rsidR="007C64B4" w:rsidRPr="00B92FA1" w:rsidTr="007C64B4">
        <w:trPr>
          <w:trHeight w:val="300"/>
          <w:jc w:val="center"/>
        </w:trPr>
        <w:tc>
          <w:tcPr>
            <w:tcW w:w="6383" w:type="dxa"/>
            <w:gridSpan w:val="4"/>
            <w:noWrap/>
            <w:hideMark/>
          </w:tcPr>
          <w:p w:rsidR="007C64B4" w:rsidRPr="00B92FA1" w:rsidRDefault="007C64B4" w:rsidP="007C64B4">
            <w:pPr>
              <w:jc w:val="center"/>
              <w:rPr>
                <w:b/>
                <w:color w:val="000000"/>
                <w:lang w:val="en-GB"/>
              </w:rPr>
            </w:pPr>
            <w:r w:rsidRPr="00B92FA1">
              <w:rPr>
                <w:b/>
                <w:color w:val="000000"/>
                <w:szCs w:val="22"/>
                <w:lang w:val="en-GB"/>
              </w:rPr>
              <w:lastRenderedPageBreak/>
              <w:t>Operator of maintenance facilities</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p>
        </w:tc>
        <w:tc>
          <w:tcPr>
            <w:tcW w:w="1701" w:type="dxa"/>
            <w:noWrap/>
            <w:hideMark/>
          </w:tcPr>
          <w:p w:rsidR="007C64B4" w:rsidRPr="00B92FA1" w:rsidRDefault="007C64B4" w:rsidP="007C64B4">
            <w:pPr>
              <w:jc w:val="center"/>
              <w:rPr>
                <w:color w:val="000000"/>
                <w:lang w:val="en-GB"/>
              </w:rPr>
            </w:pPr>
            <w:r w:rsidRPr="00B92FA1">
              <w:rPr>
                <w:color w:val="000000"/>
                <w:sz w:val="22"/>
                <w:szCs w:val="22"/>
                <w:lang w:val="en-GB"/>
              </w:rPr>
              <w:t>IM</w:t>
            </w:r>
          </w:p>
        </w:tc>
        <w:tc>
          <w:tcPr>
            <w:tcW w:w="1701" w:type="dxa"/>
            <w:noWrap/>
            <w:hideMark/>
          </w:tcPr>
          <w:p w:rsidR="007C64B4" w:rsidRPr="00B92FA1" w:rsidRDefault="007C64B4" w:rsidP="007C64B4">
            <w:pPr>
              <w:jc w:val="center"/>
              <w:rPr>
                <w:color w:val="000000"/>
                <w:lang w:val="en-GB"/>
              </w:rPr>
            </w:pPr>
            <w:r w:rsidRPr="0090368E">
              <w:rPr>
                <w:color w:val="000000"/>
                <w:sz w:val="22"/>
                <w:szCs w:val="22"/>
                <w:lang w:val="en-GB"/>
              </w:rPr>
              <w:t>RU incumbent</w:t>
            </w:r>
          </w:p>
        </w:tc>
        <w:tc>
          <w:tcPr>
            <w:tcW w:w="1702" w:type="dxa"/>
            <w:noWrap/>
            <w:hideMark/>
          </w:tcPr>
          <w:p w:rsidR="007C64B4" w:rsidRPr="00B92FA1" w:rsidRDefault="007C64B4" w:rsidP="007C64B4">
            <w:pPr>
              <w:jc w:val="center"/>
              <w:rPr>
                <w:color w:val="000000"/>
                <w:lang w:val="en-GB"/>
              </w:rPr>
            </w:pPr>
            <w:r w:rsidRPr="00B92FA1">
              <w:rPr>
                <w:color w:val="000000"/>
                <w:sz w:val="22"/>
                <w:szCs w:val="22"/>
                <w:lang w:val="en-GB"/>
              </w:rPr>
              <w:t>Other</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Austria</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c>
          <w:tcPr>
            <w:tcW w:w="1702"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7C64B4">
        <w:trPr>
          <w:trHeight w:val="300"/>
          <w:jc w:val="center"/>
        </w:trPr>
        <w:tc>
          <w:tcPr>
            <w:tcW w:w="1279" w:type="dxa"/>
            <w:noWrap/>
          </w:tcPr>
          <w:p w:rsidR="007C64B4" w:rsidRPr="00B92FA1" w:rsidRDefault="007C64B4" w:rsidP="007C64B4">
            <w:pPr>
              <w:rPr>
                <w:color w:val="000000"/>
                <w:sz w:val="22"/>
                <w:lang w:val="en-GB"/>
              </w:rPr>
            </w:pPr>
            <w:r>
              <w:rPr>
                <w:color w:val="000000"/>
                <w:sz w:val="22"/>
                <w:szCs w:val="22"/>
                <w:lang w:val="en-GB"/>
              </w:rPr>
              <w:t>Belgium</w:t>
            </w:r>
          </w:p>
        </w:tc>
        <w:tc>
          <w:tcPr>
            <w:tcW w:w="1701" w:type="dxa"/>
            <w:noWrap/>
          </w:tcPr>
          <w:p w:rsidR="007C64B4" w:rsidRPr="00B92FA1" w:rsidRDefault="007C64B4" w:rsidP="007C64B4">
            <w:pPr>
              <w:jc w:val="center"/>
              <w:rPr>
                <w:color w:val="000000"/>
                <w:lang w:val="en-GB"/>
              </w:rPr>
            </w:pPr>
          </w:p>
        </w:tc>
        <w:tc>
          <w:tcPr>
            <w:tcW w:w="1701" w:type="dxa"/>
            <w:noWrap/>
          </w:tcPr>
          <w:p w:rsidR="007C64B4" w:rsidRPr="00B92FA1" w:rsidRDefault="007C64B4" w:rsidP="007C64B4">
            <w:pPr>
              <w:jc w:val="center"/>
              <w:rPr>
                <w:color w:val="000000"/>
                <w:sz w:val="22"/>
                <w:lang w:val="en-GB"/>
              </w:rPr>
            </w:pPr>
            <w:r>
              <w:rPr>
                <w:color w:val="000000"/>
                <w:sz w:val="22"/>
                <w:szCs w:val="22"/>
                <w:lang w:val="en-GB"/>
              </w:rPr>
              <w:t>X</w:t>
            </w:r>
          </w:p>
        </w:tc>
        <w:tc>
          <w:tcPr>
            <w:tcW w:w="1702" w:type="dxa"/>
            <w:noWrap/>
          </w:tcPr>
          <w:p w:rsidR="007C64B4" w:rsidRPr="00B92FA1" w:rsidRDefault="007C64B4" w:rsidP="007C64B4">
            <w:pPr>
              <w:jc w:val="center"/>
              <w:rPr>
                <w:color w:val="000000"/>
                <w:sz w:val="22"/>
                <w:lang w:val="en-GB"/>
              </w:rPr>
            </w:pPr>
            <w:r>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Croatia</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c>
          <w:tcPr>
            <w:tcW w:w="1702"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Finland</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2"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France</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2" w:type="dxa"/>
            <w:noWrap/>
            <w:hideMark/>
          </w:tcPr>
          <w:p w:rsidR="007C64B4" w:rsidRPr="00B92FA1" w:rsidRDefault="007C64B4" w:rsidP="007C64B4">
            <w:pPr>
              <w:jc w:val="center"/>
              <w:rPr>
                <w:color w:val="000000"/>
                <w:lang w:val="en-GB"/>
              </w:rPr>
            </w:pPr>
            <w:r>
              <w:rPr>
                <w:color w:val="000000"/>
                <w:sz w:val="22"/>
                <w:szCs w:val="22"/>
                <w:lang w:val="en-GB"/>
              </w:rPr>
              <w:t>X</w:t>
            </w:r>
            <w:r>
              <w:rPr>
                <w:rStyle w:val="Appelnotedebasdep"/>
                <w:color w:val="000000"/>
                <w:sz w:val="22"/>
                <w:szCs w:val="22"/>
                <w:lang w:val="en-GB"/>
              </w:rPr>
              <w:footnoteReference w:id="36"/>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Germany</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2"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Italy</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2"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Netherlands</w:t>
            </w:r>
          </w:p>
        </w:tc>
        <w:tc>
          <w:tcPr>
            <w:tcW w:w="1701" w:type="dxa"/>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2"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Norway</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1" w:type="dxa"/>
            <w:noWrap/>
            <w:hideMark/>
          </w:tcPr>
          <w:p w:rsidR="007C64B4" w:rsidRPr="00B92FA1" w:rsidRDefault="007C64B4" w:rsidP="007C64B4">
            <w:pPr>
              <w:jc w:val="center"/>
              <w:rPr>
                <w:color w:val="000000"/>
                <w:lang w:val="en-GB"/>
              </w:rPr>
            </w:pPr>
          </w:p>
        </w:tc>
        <w:tc>
          <w:tcPr>
            <w:tcW w:w="1702"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Poland</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2"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Portugal</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2"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Romania</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2"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Slovenia</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p>
        </w:tc>
        <w:tc>
          <w:tcPr>
            <w:tcW w:w="1702"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Spain</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c>
          <w:tcPr>
            <w:tcW w:w="1702" w:type="dxa"/>
            <w:noWrap/>
            <w:hideMark/>
          </w:tcPr>
          <w:p w:rsidR="007C64B4" w:rsidRPr="00B92FA1" w:rsidRDefault="007C64B4" w:rsidP="007C64B4">
            <w:pPr>
              <w:jc w:val="center"/>
              <w:rPr>
                <w:color w:val="000000"/>
                <w:lang w:val="en-GB"/>
              </w:rPr>
            </w:pPr>
            <w:r w:rsidRPr="00B92FA1">
              <w:rPr>
                <w:color w:val="000000"/>
                <w:sz w:val="22"/>
                <w:szCs w:val="22"/>
                <w:lang w:val="en-GB"/>
              </w:rPr>
              <w:t>X</w:t>
            </w:r>
            <w:r>
              <w:rPr>
                <w:rStyle w:val="Appelnotedebasdep"/>
                <w:color w:val="000000"/>
                <w:sz w:val="22"/>
                <w:szCs w:val="22"/>
                <w:lang w:val="en-GB"/>
              </w:rPr>
              <w:footnoteReference w:id="37"/>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sidRPr="00B92FA1">
              <w:rPr>
                <w:color w:val="000000"/>
                <w:sz w:val="22"/>
                <w:szCs w:val="22"/>
                <w:lang w:val="en-GB"/>
              </w:rPr>
              <w:t>Sweden</w:t>
            </w:r>
            <w:r>
              <w:rPr>
                <w:rStyle w:val="Appelnotedebasdep"/>
                <w:color w:val="000000"/>
                <w:sz w:val="22"/>
                <w:szCs w:val="22"/>
                <w:lang w:val="en-GB"/>
              </w:rPr>
              <w:footnoteReference w:id="38"/>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tabs>
                <w:tab w:val="left" w:pos="584"/>
                <w:tab w:val="center" w:pos="742"/>
              </w:tabs>
              <w:jc w:val="center"/>
              <w:rPr>
                <w:color w:val="000000"/>
                <w:lang w:val="en-GB"/>
              </w:rPr>
            </w:pPr>
            <w:r>
              <w:rPr>
                <w:color w:val="000000"/>
                <w:sz w:val="22"/>
                <w:szCs w:val="22"/>
                <w:lang w:val="en-GB"/>
              </w:rPr>
              <w:t>(X)</w:t>
            </w:r>
            <w:r>
              <w:rPr>
                <w:rStyle w:val="Appelnotedebasdep"/>
                <w:color w:val="000000"/>
                <w:sz w:val="22"/>
                <w:szCs w:val="22"/>
                <w:lang w:val="en-GB"/>
              </w:rPr>
              <w:footnoteReference w:id="39"/>
            </w:r>
          </w:p>
        </w:tc>
        <w:tc>
          <w:tcPr>
            <w:tcW w:w="1702"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7C64B4">
        <w:trPr>
          <w:trHeight w:val="300"/>
          <w:jc w:val="center"/>
        </w:trPr>
        <w:tc>
          <w:tcPr>
            <w:tcW w:w="1279" w:type="dxa"/>
            <w:noWrap/>
            <w:hideMark/>
          </w:tcPr>
          <w:p w:rsidR="007C64B4" w:rsidRPr="00B92FA1" w:rsidRDefault="007C64B4" w:rsidP="007C64B4">
            <w:pPr>
              <w:rPr>
                <w:color w:val="000000"/>
                <w:lang w:val="en-GB"/>
              </w:rPr>
            </w:pPr>
            <w:r>
              <w:rPr>
                <w:color w:val="000000"/>
                <w:sz w:val="22"/>
                <w:szCs w:val="22"/>
                <w:lang w:val="en-GB"/>
              </w:rPr>
              <w:t>UK</w:t>
            </w:r>
            <w:r>
              <w:rPr>
                <w:rStyle w:val="Appelnotedebasdep"/>
                <w:color w:val="000000"/>
                <w:sz w:val="22"/>
                <w:szCs w:val="22"/>
                <w:lang w:val="en-GB"/>
              </w:rPr>
              <w:footnoteReference w:id="40"/>
            </w:r>
          </w:p>
        </w:tc>
        <w:tc>
          <w:tcPr>
            <w:tcW w:w="1701" w:type="dxa"/>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p>
        </w:tc>
        <w:tc>
          <w:tcPr>
            <w:tcW w:w="1702" w:type="dxa"/>
            <w:noWrap/>
            <w:hideMark/>
          </w:tcPr>
          <w:p w:rsidR="007C64B4" w:rsidRPr="00B92FA1" w:rsidRDefault="007C64B4" w:rsidP="007C64B4">
            <w:pPr>
              <w:jc w:val="center"/>
              <w:rPr>
                <w:color w:val="000000"/>
                <w:lang w:val="en-GB"/>
              </w:rPr>
            </w:pPr>
            <w:r>
              <w:rPr>
                <w:color w:val="000000"/>
                <w:sz w:val="22"/>
                <w:szCs w:val="22"/>
                <w:lang w:val="en-GB"/>
              </w:rPr>
              <w:t>X</w:t>
            </w:r>
          </w:p>
        </w:tc>
      </w:tr>
    </w:tbl>
    <w:p w:rsidR="007C64B4" w:rsidRPr="004E518C" w:rsidRDefault="000F1821" w:rsidP="006B0031">
      <w:pPr>
        <w:spacing w:after="240"/>
        <w:jc w:val="center"/>
        <w:rPr>
          <w:sz w:val="20"/>
          <w:lang w:val="en-GB"/>
        </w:rPr>
      </w:pPr>
      <w:r w:rsidRPr="000F1821">
        <w:rPr>
          <w:sz w:val="20"/>
          <w:lang w:val="en-GB"/>
        </w:rPr>
        <w:t xml:space="preserve">Table </w:t>
      </w:r>
      <w:r w:rsidRPr="000F1821">
        <w:rPr>
          <w:sz w:val="20"/>
          <w:lang w:val="en-GB"/>
        </w:rPr>
        <w:fldChar w:fldCharType="begin"/>
      </w:r>
      <w:r w:rsidRPr="000F1821">
        <w:rPr>
          <w:sz w:val="20"/>
          <w:lang w:val="en-GB"/>
        </w:rPr>
        <w:instrText xml:space="preserve"> SEQ Table \* ARABIC </w:instrText>
      </w:r>
      <w:r w:rsidRPr="000F1821">
        <w:rPr>
          <w:sz w:val="20"/>
          <w:lang w:val="en-GB"/>
        </w:rPr>
        <w:fldChar w:fldCharType="separate"/>
      </w:r>
      <w:r w:rsidR="0099201F">
        <w:rPr>
          <w:noProof/>
          <w:sz w:val="20"/>
          <w:lang w:val="en-GB"/>
        </w:rPr>
        <w:t>8</w:t>
      </w:r>
      <w:r w:rsidRPr="000F1821">
        <w:rPr>
          <w:sz w:val="20"/>
          <w:lang w:val="en-GB"/>
        </w:rPr>
        <w:fldChar w:fldCharType="end"/>
      </w:r>
      <w:r>
        <w:rPr>
          <w:sz w:val="20"/>
          <w:lang w:val="en-GB"/>
        </w:rPr>
        <w:t xml:space="preserve">: </w:t>
      </w:r>
      <w:r w:rsidR="007C64B4" w:rsidRPr="00A96026">
        <w:rPr>
          <w:sz w:val="20"/>
          <w:lang w:val="en-GB"/>
        </w:rPr>
        <w:t>Overview of the operator of maintenance facilities in each member state</w:t>
      </w:r>
    </w:p>
    <w:p w:rsidR="007C64B4" w:rsidRDefault="007C64B4" w:rsidP="007C64B4">
      <w:pPr>
        <w:jc w:val="both"/>
        <w:rPr>
          <w:lang w:val="en-GB"/>
        </w:rPr>
      </w:pPr>
      <w:r w:rsidRPr="00B92FA1">
        <w:rPr>
          <w:lang w:val="en-GB"/>
        </w:rPr>
        <w:t xml:space="preserve">In </w:t>
      </w:r>
      <w:r>
        <w:rPr>
          <w:lang w:val="en-GB"/>
        </w:rPr>
        <w:t>six</w:t>
      </w:r>
      <w:r w:rsidRPr="00B92FA1">
        <w:rPr>
          <w:lang w:val="en-GB"/>
        </w:rPr>
        <w:t xml:space="preserve"> countries, Austria, </w:t>
      </w:r>
      <w:r>
        <w:rPr>
          <w:lang w:val="en-GB"/>
        </w:rPr>
        <w:t>Belgium,</w:t>
      </w:r>
      <w:r w:rsidRPr="00B92FA1">
        <w:rPr>
          <w:lang w:val="en-GB"/>
        </w:rPr>
        <w:t xml:space="preserve"> Croatia, France</w:t>
      </w:r>
      <w:r>
        <w:rPr>
          <w:lang w:val="en-GB"/>
        </w:rPr>
        <w:t>,</w:t>
      </w:r>
      <w:r w:rsidRPr="00B92FA1">
        <w:rPr>
          <w:lang w:val="en-GB"/>
        </w:rPr>
        <w:t xml:space="preserve"> Finland and</w:t>
      </w:r>
      <w:r>
        <w:rPr>
          <w:lang w:val="en-GB"/>
        </w:rPr>
        <w:t xml:space="preserve"> Spain</w:t>
      </w:r>
      <w:r w:rsidRPr="00B92FA1">
        <w:rPr>
          <w:lang w:val="en-GB"/>
        </w:rPr>
        <w:t xml:space="preserve">, the market is dominated by the incumbent </w:t>
      </w:r>
      <w:r>
        <w:rPr>
          <w:lang w:val="en-GB"/>
        </w:rPr>
        <w:t>railway undertaking</w:t>
      </w:r>
      <w:r w:rsidRPr="00B92FA1">
        <w:rPr>
          <w:lang w:val="en-GB"/>
        </w:rPr>
        <w:t xml:space="preserve">. In other countries like the Netherlands, Slovenia, Sweden and the UK there is competition in the maintenance market. In </w:t>
      </w:r>
      <w:r>
        <w:rPr>
          <w:lang w:val="en-GB"/>
        </w:rPr>
        <w:t>Sweden for example, maintenance services are provided in competition by dedicated maintenance companies in all service facilities.</w:t>
      </w:r>
      <w:r w:rsidRPr="00B92FA1">
        <w:rPr>
          <w:lang w:val="en-GB"/>
        </w:rPr>
        <w:t xml:space="preserve"> </w:t>
      </w:r>
    </w:p>
    <w:p w:rsidR="007C64B4" w:rsidRDefault="007C64B4" w:rsidP="007C64B4">
      <w:pPr>
        <w:jc w:val="both"/>
        <w:rPr>
          <w:lang w:val="en-GB"/>
        </w:rPr>
      </w:pPr>
    </w:p>
    <w:p w:rsidR="007C64B4" w:rsidRPr="00B92FA1" w:rsidRDefault="007C64B4" w:rsidP="007C64B4">
      <w:pPr>
        <w:spacing w:after="160" w:line="259" w:lineRule="auto"/>
        <w:jc w:val="both"/>
        <w:rPr>
          <w:lang w:val="en-GB"/>
        </w:rPr>
      </w:pPr>
      <w:r w:rsidRPr="00B92FA1">
        <w:rPr>
          <w:lang w:val="en-GB"/>
        </w:rPr>
        <w:t xml:space="preserve">In </w:t>
      </w:r>
      <w:r>
        <w:rPr>
          <w:lang w:val="en-GB"/>
        </w:rPr>
        <w:t>three countries, Austria, Croatia, and Spain</w:t>
      </w:r>
      <w:r w:rsidRPr="00B92FA1">
        <w:rPr>
          <w:lang w:val="en-GB"/>
        </w:rPr>
        <w:t xml:space="preserve">, OPEX </w:t>
      </w:r>
      <w:r>
        <w:rPr>
          <w:lang w:val="en-GB"/>
        </w:rPr>
        <w:t>a</w:t>
      </w:r>
      <w:r w:rsidRPr="00B92FA1">
        <w:rPr>
          <w:lang w:val="en-GB"/>
        </w:rPr>
        <w:t xml:space="preserve">nd CAPEX are used for determining the cost of providing a service. In </w:t>
      </w:r>
      <w:r>
        <w:rPr>
          <w:lang w:val="en-GB"/>
        </w:rPr>
        <w:t>four</w:t>
      </w:r>
      <w:r w:rsidRPr="00B92FA1">
        <w:rPr>
          <w:lang w:val="en-GB"/>
        </w:rPr>
        <w:t xml:space="preserve"> countries</w:t>
      </w:r>
      <w:r>
        <w:rPr>
          <w:lang w:val="en-GB"/>
        </w:rPr>
        <w:t>, e.g. Finland, Sweden,</w:t>
      </w:r>
      <w:r w:rsidRPr="00B92FA1">
        <w:rPr>
          <w:lang w:val="en-GB"/>
        </w:rPr>
        <w:t xml:space="preserve"> </w:t>
      </w:r>
      <w:r>
        <w:rPr>
          <w:lang w:val="en-GB"/>
        </w:rPr>
        <w:t>there is no legal definition of methods and principles on how charges are calculated concerning maintenance facilities</w:t>
      </w:r>
      <w:r w:rsidRPr="00B92FA1">
        <w:rPr>
          <w:lang w:val="en-GB"/>
        </w:rPr>
        <w:t>. In Austria and Spain all o</w:t>
      </w:r>
      <w:r>
        <w:rPr>
          <w:lang w:val="en-GB"/>
        </w:rPr>
        <w:t xml:space="preserve">perating costs are used as OPEX. In the Netherlands depreciation, insurances and housing are included. </w:t>
      </w:r>
      <w:r w:rsidRPr="00B92FA1">
        <w:rPr>
          <w:lang w:val="en-GB"/>
        </w:rPr>
        <w:t xml:space="preserve">Croatia does not include any capital cost or reasonable profit in the determining of charges. </w:t>
      </w:r>
      <w:r>
        <w:rPr>
          <w:lang w:val="en-GB"/>
        </w:rPr>
        <w:t xml:space="preserve">In the </w:t>
      </w:r>
      <w:r w:rsidRPr="00B92FA1">
        <w:rPr>
          <w:lang w:val="en-GB"/>
        </w:rPr>
        <w:t xml:space="preserve">Netherlands </w:t>
      </w:r>
      <w:r>
        <w:rPr>
          <w:lang w:val="en-GB"/>
        </w:rPr>
        <w:t>t</w:t>
      </w:r>
      <w:r w:rsidRPr="005622E4">
        <w:rPr>
          <w:lang w:val="en-GB"/>
        </w:rPr>
        <w:t>here is no information available on further principles or methods for calculating the cost of providing service</w:t>
      </w:r>
      <w:r>
        <w:rPr>
          <w:lang w:val="en-GB"/>
        </w:rPr>
        <w:t>s</w:t>
      </w:r>
      <w:r w:rsidRPr="00B92FA1">
        <w:rPr>
          <w:lang w:val="en-GB"/>
        </w:rPr>
        <w:t>.</w:t>
      </w:r>
      <w:r>
        <w:rPr>
          <w:lang w:val="en-GB"/>
        </w:rPr>
        <w:t xml:space="preserve"> In France, as for all service facilities except passenger stations, the national legislation only </w:t>
      </w:r>
      <w:r>
        <w:rPr>
          <w:lang w:val="en-GB"/>
        </w:rPr>
        <w:lastRenderedPageBreak/>
        <w:t>refers to the notion of “cost of providing a service” without specifying the way charges have to be computed. SNCF Mobilités, the service facility operator of maintenance facilities, used a normative economic model to compute the charges of access to and use of the maintenance installations</w:t>
      </w:r>
      <w:r>
        <w:rPr>
          <w:rStyle w:val="Appelnotedebasdep"/>
          <w:lang w:val="en-GB"/>
        </w:rPr>
        <w:footnoteReference w:id="41"/>
      </w:r>
      <w:r>
        <w:rPr>
          <w:lang w:val="en-GB"/>
        </w:rPr>
        <w:t xml:space="preserve"> due to its lack of knowledge about its actual costs. The French regulatory body has rejected this type of charges computation owing to the absence of any direct link to accrued costs. SNCF Mobilités is currently working on a new methodology for the computation of its charges.</w:t>
      </w:r>
    </w:p>
    <w:p w:rsidR="007C64B4" w:rsidRPr="00B92FA1" w:rsidRDefault="007C64B4" w:rsidP="007C64B4">
      <w:pPr>
        <w:jc w:val="both"/>
        <w:rPr>
          <w:lang w:val="en-GB"/>
        </w:rPr>
      </w:pPr>
    </w:p>
    <w:p w:rsidR="007C64B4" w:rsidRDefault="007C64B4" w:rsidP="007C64B4">
      <w:pPr>
        <w:numPr>
          <w:ilvl w:val="1"/>
          <w:numId w:val="33"/>
        </w:numPr>
        <w:jc w:val="both"/>
        <w:rPr>
          <w:b/>
          <w:bCs/>
          <w:color w:val="000000" w:themeColor="text1"/>
          <w:lang w:val="en-GB"/>
        </w:rPr>
      </w:pPr>
      <w:r w:rsidRPr="00B92FA1">
        <w:rPr>
          <w:b/>
          <w:bCs/>
          <w:color w:val="000000" w:themeColor="text1"/>
          <w:lang w:val="en-GB"/>
        </w:rPr>
        <w:t>Refuelling facilities</w:t>
      </w:r>
    </w:p>
    <w:p w:rsidR="006B0031" w:rsidRPr="00B92FA1" w:rsidRDefault="006B0031" w:rsidP="00B0626A">
      <w:pPr>
        <w:ind w:left="1440"/>
        <w:jc w:val="both"/>
        <w:rPr>
          <w:b/>
          <w:bCs/>
          <w:color w:val="000000" w:themeColor="text1"/>
          <w:lang w:val="en-GB"/>
        </w:rPr>
      </w:pPr>
    </w:p>
    <w:p w:rsidR="007C64B4" w:rsidRPr="00B92FA1" w:rsidRDefault="007C64B4" w:rsidP="006B0031">
      <w:pPr>
        <w:spacing w:after="240"/>
        <w:jc w:val="both"/>
        <w:rPr>
          <w:lang w:val="en-GB"/>
        </w:rPr>
      </w:pPr>
      <w:r w:rsidRPr="00B92FA1">
        <w:rPr>
          <w:lang w:val="en-GB"/>
        </w:rPr>
        <w:t xml:space="preserve">The questions concerning </w:t>
      </w:r>
      <w:r>
        <w:rPr>
          <w:lang w:val="en-GB"/>
        </w:rPr>
        <w:t>refuelling</w:t>
      </w:r>
      <w:r w:rsidRPr="00B92FA1">
        <w:rPr>
          <w:lang w:val="en-GB"/>
        </w:rPr>
        <w:t xml:space="preserve"> facilities were answered by </w:t>
      </w:r>
      <w:r>
        <w:rPr>
          <w:lang w:val="en-GB"/>
        </w:rPr>
        <w:t>14</w:t>
      </w:r>
      <w:r w:rsidRPr="00B92FA1">
        <w:rPr>
          <w:lang w:val="en-GB"/>
        </w:rPr>
        <w:t xml:space="preserve"> countries. </w:t>
      </w:r>
    </w:p>
    <w:tbl>
      <w:tblPr>
        <w:tblStyle w:val="Grilledutableau"/>
        <w:tblW w:w="6809" w:type="dxa"/>
        <w:jc w:val="center"/>
        <w:tblLook w:val="04A0" w:firstRow="1" w:lastRow="0" w:firstColumn="1" w:lastColumn="0" w:noHBand="0" w:noVBand="1"/>
      </w:tblPr>
      <w:tblGrid>
        <w:gridCol w:w="1701"/>
        <w:gridCol w:w="1701"/>
        <w:gridCol w:w="1701"/>
        <w:gridCol w:w="1706"/>
      </w:tblGrid>
      <w:tr w:rsidR="007C64B4" w:rsidRPr="00B92FA1" w:rsidTr="007C64B4">
        <w:trPr>
          <w:trHeight w:val="300"/>
          <w:jc w:val="center"/>
        </w:trPr>
        <w:tc>
          <w:tcPr>
            <w:tcW w:w="6809" w:type="dxa"/>
            <w:gridSpan w:val="4"/>
            <w:noWrap/>
            <w:hideMark/>
          </w:tcPr>
          <w:p w:rsidR="007C64B4" w:rsidRPr="00B92FA1" w:rsidRDefault="007C64B4" w:rsidP="007C64B4">
            <w:pPr>
              <w:jc w:val="center"/>
              <w:rPr>
                <w:color w:val="000000"/>
                <w:lang w:val="en-GB"/>
              </w:rPr>
            </w:pPr>
            <w:r w:rsidRPr="00B92FA1">
              <w:rPr>
                <w:color w:val="000000"/>
                <w:sz w:val="22"/>
                <w:szCs w:val="22"/>
                <w:lang w:val="en-GB"/>
              </w:rPr>
              <w:t>Operator of refuelling facilities</w:t>
            </w: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p>
        </w:tc>
        <w:tc>
          <w:tcPr>
            <w:tcW w:w="1701" w:type="dxa"/>
            <w:noWrap/>
            <w:hideMark/>
          </w:tcPr>
          <w:p w:rsidR="007C64B4" w:rsidRPr="00B92FA1" w:rsidRDefault="007C64B4" w:rsidP="007C64B4">
            <w:pPr>
              <w:jc w:val="center"/>
              <w:rPr>
                <w:color w:val="000000"/>
                <w:lang w:val="en-GB"/>
              </w:rPr>
            </w:pPr>
            <w:r w:rsidRPr="00B92FA1">
              <w:rPr>
                <w:color w:val="000000"/>
                <w:sz w:val="22"/>
                <w:szCs w:val="22"/>
                <w:lang w:val="en-GB"/>
              </w:rPr>
              <w:t>IM</w:t>
            </w:r>
          </w:p>
        </w:tc>
        <w:tc>
          <w:tcPr>
            <w:tcW w:w="1701" w:type="dxa"/>
            <w:noWrap/>
            <w:hideMark/>
          </w:tcPr>
          <w:p w:rsidR="007C64B4" w:rsidRPr="00B92FA1" w:rsidRDefault="007C64B4" w:rsidP="007C64B4">
            <w:pPr>
              <w:jc w:val="center"/>
              <w:rPr>
                <w:color w:val="000000"/>
                <w:lang w:val="en-GB"/>
              </w:rPr>
            </w:pPr>
            <w:r w:rsidRPr="0090368E">
              <w:rPr>
                <w:color w:val="000000"/>
                <w:sz w:val="22"/>
                <w:szCs w:val="22"/>
                <w:lang w:val="en-GB"/>
              </w:rPr>
              <w:t>RU incumbent</w:t>
            </w:r>
          </w:p>
        </w:tc>
        <w:tc>
          <w:tcPr>
            <w:tcW w:w="1706" w:type="dxa"/>
            <w:noWrap/>
            <w:hideMark/>
          </w:tcPr>
          <w:p w:rsidR="007C64B4" w:rsidRPr="00B92FA1" w:rsidRDefault="007C64B4" w:rsidP="007C64B4">
            <w:pPr>
              <w:jc w:val="center"/>
              <w:rPr>
                <w:color w:val="000000"/>
                <w:lang w:val="en-GB"/>
              </w:rPr>
            </w:pPr>
            <w:r w:rsidRPr="00B92FA1">
              <w:rPr>
                <w:color w:val="000000"/>
                <w:sz w:val="22"/>
                <w:szCs w:val="22"/>
                <w:lang w:val="en-GB"/>
              </w:rPr>
              <w:t>Other</w:t>
            </w: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Austria</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c>
          <w:tcPr>
            <w:tcW w:w="1706"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Croatia</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c>
          <w:tcPr>
            <w:tcW w:w="1706" w:type="dxa"/>
            <w:noWrap/>
            <w:hideMark/>
          </w:tcPr>
          <w:p w:rsidR="007C64B4" w:rsidRPr="00B92FA1" w:rsidRDefault="007C64B4" w:rsidP="007C64B4">
            <w:pPr>
              <w:jc w:val="center"/>
              <w:rPr>
                <w:color w:val="000000"/>
                <w:lang w:val="en-GB"/>
              </w:rPr>
            </w:pP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Finland</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Pr>
                <w:color w:val="000000"/>
                <w:lang w:val="en-GB"/>
              </w:rPr>
              <w:t>X</w:t>
            </w:r>
          </w:p>
        </w:tc>
        <w:tc>
          <w:tcPr>
            <w:tcW w:w="1706" w:type="dxa"/>
            <w:noWrap/>
            <w:hideMark/>
          </w:tcPr>
          <w:p w:rsidR="007C64B4" w:rsidRPr="00B92FA1" w:rsidRDefault="007C64B4" w:rsidP="007C64B4">
            <w:pPr>
              <w:jc w:val="center"/>
              <w:rPr>
                <w:color w:val="000000"/>
                <w:lang w:val="en-GB"/>
              </w:rPr>
            </w:pP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France</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sidRPr="00B92FA1">
              <w:rPr>
                <w:color w:val="000000"/>
                <w:sz w:val="22"/>
                <w:szCs w:val="22"/>
                <w:lang w:val="en-GB"/>
              </w:rPr>
              <w:t>X</w:t>
            </w:r>
          </w:p>
        </w:tc>
        <w:tc>
          <w:tcPr>
            <w:tcW w:w="1706"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Germany</w:t>
            </w:r>
            <w:r>
              <w:rPr>
                <w:rStyle w:val="Appelnotedebasdep"/>
                <w:color w:val="000000"/>
                <w:sz w:val="22"/>
                <w:szCs w:val="22"/>
                <w:lang w:val="en-GB"/>
              </w:rPr>
              <w:footnoteReference w:id="42"/>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6"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Italy</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1" w:type="dxa"/>
            <w:noWrap/>
            <w:hideMark/>
          </w:tcPr>
          <w:p w:rsidR="007C64B4" w:rsidRPr="00B92FA1" w:rsidRDefault="00786114" w:rsidP="007C64B4">
            <w:pPr>
              <w:jc w:val="center"/>
              <w:rPr>
                <w:color w:val="000000"/>
                <w:lang w:val="en-GB"/>
              </w:rPr>
            </w:pPr>
            <w:r>
              <w:rPr>
                <w:color w:val="000000"/>
                <w:lang w:val="en-GB"/>
              </w:rPr>
              <w:t>X</w:t>
            </w:r>
          </w:p>
        </w:tc>
        <w:tc>
          <w:tcPr>
            <w:tcW w:w="1706" w:type="dxa"/>
            <w:noWrap/>
            <w:hideMark/>
          </w:tcPr>
          <w:p w:rsidR="007C64B4" w:rsidRPr="00B92FA1" w:rsidRDefault="00786114" w:rsidP="007C64B4">
            <w:pPr>
              <w:jc w:val="center"/>
              <w:rPr>
                <w:color w:val="000000"/>
                <w:lang w:val="en-GB"/>
              </w:rPr>
            </w:pPr>
            <w:r>
              <w:rPr>
                <w:color w:val="000000"/>
                <w:lang w:val="en-GB"/>
              </w:rPr>
              <w:t>X</w:t>
            </w: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Netherlands</w:t>
            </w:r>
            <w:r>
              <w:rPr>
                <w:rStyle w:val="Appelnotedebasdep"/>
                <w:color w:val="000000"/>
                <w:sz w:val="22"/>
                <w:szCs w:val="22"/>
                <w:lang w:val="en-GB"/>
              </w:rPr>
              <w:footnoteReference w:id="43"/>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6"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Norway</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6" w:type="dxa"/>
            <w:noWrap/>
            <w:hideMark/>
          </w:tcPr>
          <w:p w:rsidR="007C64B4" w:rsidRPr="00B92FA1" w:rsidRDefault="007C64B4" w:rsidP="007C64B4">
            <w:pPr>
              <w:jc w:val="center"/>
              <w:rPr>
                <w:color w:val="000000"/>
                <w:lang w:val="en-GB"/>
              </w:rPr>
            </w:pP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Poland</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6"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Portugal</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6"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Romania</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6" w:type="dxa"/>
            <w:noWrap/>
            <w:hideMark/>
          </w:tcPr>
          <w:p w:rsidR="007C64B4" w:rsidRPr="00B92FA1" w:rsidRDefault="007C64B4" w:rsidP="007C64B4">
            <w:pPr>
              <w:jc w:val="center"/>
              <w:rPr>
                <w:color w:val="000000"/>
                <w:lang w:val="en-GB"/>
              </w:rPr>
            </w:pPr>
            <w:r>
              <w:rPr>
                <w:color w:val="000000"/>
                <w:sz w:val="22"/>
                <w:szCs w:val="22"/>
                <w:lang w:val="en-GB"/>
              </w:rPr>
              <w:t>X</w:t>
            </w: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Spain</w:t>
            </w:r>
          </w:p>
        </w:tc>
        <w:tc>
          <w:tcPr>
            <w:tcW w:w="1701" w:type="dxa"/>
            <w:noWrap/>
            <w:hideMark/>
          </w:tcPr>
          <w:p w:rsidR="007C64B4" w:rsidRPr="00B92FA1" w:rsidRDefault="007C64B4" w:rsidP="007C64B4">
            <w:pPr>
              <w:jc w:val="center"/>
              <w:rPr>
                <w:color w:val="000000"/>
                <w:lang w:val="en-GB"/>
              </w:rPr>
            </w:pPr>
            <w:r>
              <w:rPr>
                <w:color w:val="000000"/>
                <w:sz w:val="22"/>
                <w:szCs w:val="22"/>
                <w:lang w:val="en-GB"/>
              </w:rPr>
              <w:t>X</w:t>
            </w:r>
          </w:p>
        </w:tc>
        <w:tc>
          <w:tcPr>
            <w:tcW w:w="1701" w:type="dxa"/>
            <w:noWrap/>
            <w:hideMark/>
          </w:tcPr>
          <w:p w:rsidR="007C64B4" w:rsidRPr="00B92FA1" w:rsidRDefault="007C64B4" w:rsidP="007C64B4">
            <w:pPr>
              <w:jc w:val="center"/>
              <w:rPr>
                <w:color w:val="000000"/>
                <w:lang w:val="en-GB"/>
              </w:rPr>
            </w:pPr>
          </w:p>
        </w:tc>
        <w:tc>
          <w:tcPr>
            <w:tcW w:w="1706" w:type="dxa"/>
            <w:noWrap/>
            <w:hideMark/>
          </w:tcPr>
          <w:p w:rsidR="007C64B4" w:rsidRPr="00B92FA1" w:rsidRDefault="007C64B4" w:rsidP="007C64B4">
            <w:pPr>
              <w:jc w:val="center"/>
              <w:rPr>
                <w:color w:val="000000"/>
                <w:lang w:val="en-GB"/>
              </w:rPr>
            </w:pPr>
          </w:p>
        </w:tc>
      </w:tr>
      <w:tr w:rsidR="007C64B4" w:rsidRPr="00B92FA1" w:rsidTr="00A51E8E">
        <w:trPr>
          <w:trHeight w:val="300"/>
          <w:jc w:val="center"/>
        </w:trPr>
        <w:tc>
          <w:tcPr>
            <w:tcW w:w="1701" w:type="dxa"/>
            <w:noWrap/>
            <w:hideMark/>
          </w:tcPr>
          <w:p w:rsidR="007C64B4" w:rsidRPr="00B92FA1" w:rsidRDefault="007C64B4" w:rsidP="007C64B4">
            <w:pPr>
              <w:rPr>
                <w:color w:val="000000"/>
                <w:lang w:val="en-GB"/>
              </w:rPr>
            </w:pPr>
            <w:r w:rsidRPr="00B92FA1">
              <w:rPr>
                <w:color w:val="000000"/>
                <w:sz w:val="22"/>
                <w:szCs w:val="22"/>
                <w:lang w:val="en-GB"/>
              </w:rPr>
              <w:t>Sweden</w:t>
            </w:r>
          </w:p>
        </w:tc>
        <w:tc>
          <w:tcPr>
            <w:tcW w:w="1701" w:type="dxa"/>
            <w:noWrap/>
            <w:hideMark/>
          </w:tcPr>
          <w:p w:rsidR="007C64B4" w:rsidRPr="00B92FA1" w:rsidRDefault="007C64B4" w:rsidP="007C64B4">
            <w:pPr>
              <w:jc w:val="center"/>
              <w:rPr>
                <w:color w:val="000000"/>
                <w:lang w:val="en-GB"/>
              </w:rPr>
            </w:pPr>
          </w:p>
        </w:tc>
        <w:tc>
          <w:tcPr>
            <w:tcW w:w="1701" w:type="dxa"/>
            <w:noWrap/>
            <w:hideMark/>
          </w:tcPr>
          <w:p w:rsidR="007C64B4" w:rsidRPr="00B92FA1" w:rsidRDefault="007C64B4" w:rsidP="007C64B4">
            <w:pPr>
              <w:jc w:val="center"/>
              <w:rPr>
                <w:color w:val="000000"/>
                <w:lang w:val="en-GB"/>
              </w:rPr>
            </w:pPr>
          </w:p>
        </w:tc>
        <w:tc>
          <w:tcPr>
            <w:tcW w:w="1706" w:type="dxa"/>
            <w:noWrap/>
            <w:hideMark/>
          </w:tcPr>
          <w:p w:rsidR="007C64B4" w:rsidRPr="00B92FA1" w:rsidRDefault="007C64B4" w:rsidP="007C64B4">
            <w:pPr>
              <w:jc w:val="center"/>
              <w:rPr>
                <w:color w:val="000000"/>
                <w:lang w:val="en-GB"/>
              </w:rPr>
            </w:pPr>
            <w:r w:rsidRPr="00B92FA1">
              <w:rPr>
                <w:color w:val="000000"/>
                <w:sz w:val="22"/>
                <w:szCs w:val="22"/>
                <w:lang w:val="en-GB"/>
              </w:rPr>
              <w:t>X</w:t>
            </w:r>
          </w:p>
        </w:tc>
      </w:tr>
      <w:tr w:rsidR="007C64B4" w:rsidRPr="00B92FA1" w:rsidTr="00A51E8E">
        <w:trPr>
          <w:trHeight w:val="300"/>
          <w:jc w:val="center"/>
        </w:trPr>
        <w:tc>
          <w:tcPr>
            <w:tcW w:w="1701" w:type="dxa"/>
            <w:noWrap/>
          </w:tcPr>
          <w:p w:rsidR="007C64B4" w:rsidRPr="00B92FA1" w:rsidRDefault="007C64B4" w:rsidP="007C64B4">
            <w:pPr>
              <w:rPr>
                <w:color w:val="000000"/>
                <w:sz w:val="22"/>
                <w:lang w:val="en-GB"/>
              </w:rPr>
            </w:pPr>
            <w:r>
              <w:rPr>
                <w:color w:val="000000"/>
                <w:sz w:val="22"/>
                <w:szCs w:val="22"/>
                <w:lang w:val="en-GB"/>
              </w:rPr>
              <w:t>UK</w:t>
            </w:r>
            <w:r>
              <w:rPr>
                <w:rStyle w:val="Appelnotedebasdep"/>
                <w:color w:val="000000"/>
                <w:sz w:val="22"/>
                <w:szCs w:val="22"/>
                <w:lang w:val="en-GB"/>
              </w:rPr>
              <w:footnoteReference w:id="44"/>
            </w:r>
          </w:p>
        </w:tc>
        <w:tc>
          <w:tcPr>
            <w:tcW w:w="1701" w:type="dxa"/>
            <w:noWrap/>
          </w:tcPr>
          <w:p w:rsidR="007C64B4" w:rsidRPr="00B92FA1" w:rsidRDefault="007C64B4" w:rsidP="007C64B4">
            <w:pPr>
              <w:jc w:val="center"/>
              <w:rPr>
                <w:color w:val="000000"/>
                <w:lang w:val="en-GB"/>
              </w:rPr>
            </w:pPr>
          </w:p>
        </w:tc>
        <w:tc>
          <w:tcPr>
            <w:tcW w:w="1701" w:type="dxa"/>
            <w:noWrap/>
          </w:tcPr>
          <w:p w:rsidR="007C64B4" w:rsidRPr="00B92FA1" w:rsidRDefault="007C64B4" w:rsidP="007C64B4">
            <w:pPr>
              <w:jc w:val="center"/>
              <w:rPr>
                <w:color w:val="000000"/>
                <w:lang w:val="en-GB"/>
              </w:rPr>
            </w:pPr>
          </w:p>
        </w:tc>
        <w:tc>
          <w:tcPr>
            <w:tcW w:w="1706" w:type="dxa"/>
            <w:noWrap/>
          </w:tcPr>
          <w:p w:rsidR="007C64B4" w:rsidRPr="00B92FA1" w:rsidRDefault="007C64B4" w:rsidP="007C64B4">
            <w:pPr>
              <w:jc w:val="center"/>
              <w:rPr>
                <w:color w:val="000000"/>
                <w:sz w:val="22"/>
                <w:lang w:val="en-GB"/>
              </w:rPr>
            </w:pPr>
            <w:r w:rsidRPr="00B92FA1">
              <w:rPr>
                <w:color w:val="000000"/>
                <w:sz w:val="22"/>
                <w:szCs w:val="22"/>
                <w:lang w:val="en-GB"/>
              </w:rPr>
              <w:t>X</w:t>
            </w:r>
          </w:p>
        </w:tc>
      </w:tr>
    </w:tbl>
    <w:p w:rsidR="007C64B4" w:rsidRPr="004E518C" w:rsidRDefault="00A51E8E" w:rsidP="00B0626A">
      <w:pPr>
        <w:spacing w:after="240"/>
        <w:jc w:val="center"/>
        <w:rPr>
          <w:sz w:val="20"/>
          <w:lang w:val="en-GB"/>
        </w:rPr>
      </w:pPr>
      <w:r w:rsidRPr="00A51E8E">
        <w:rPr>
          <w:sz w:val="20"/>
          <w:lang w:val="en-GB"/>
        </w:rPr>
        <w:t xml:space="preserve">Table </w:t>
      </w:r>
      <w:r w:rsidRPr="00A51E8E">
        <w:rPr>
          <w:sz w:val="20"/>
          <w:lang w:val="en-GB"/>
        </w:rPr>
        <w:fldChar w:fldCharType="begin"/>
      </w:r>
      <w:r w:rsidRPr="00A51E8E">
        <w:rPr>
          <w:sz w:val="20"/>
          <w:lang w:val="en-GB"/>
        </w:rPr>
        <w:instrText xml:space="preserve"> SEQ Table \* ARABIC </w:instrText>
      </w:r>
      <w:r w:rsidRPr="00A51E8E">
        <w:rPr>
          <w:sz w:val="20"/>
          <w:lang w:val="en-GB"/>
        </w:rPr>
        <w:fldChar w:fldCharType="separate"/>
      </w:r>
      <w:r w:rsidR="0099201F">
        <w:rPr>
          <w:noProof/>
          <w:sz w:val="20"/>
          <w:lang w:val="en-GB"/>
        </w:rPr>
        <w:t>9</w:t>
      </w:r>
      <w:r w:rsidRPr="00A51E8E">
        <w:rPr>
          <w:sz w:val="20"/>
          <w:lang w:val="en-GB"/>
        </w:rPr>
        <w:fldChar w:fldCharType="end"/>
      </w:r>
      <w:r>
        <w:rPr>
          <w:sz w:val="20"/>
          <w:lang w:val="en-GB"/>
        </w:rPr>
        <w:t xml:space="preserve">: </w:t>
      </w:r>
      <w:r w:rsidR="007C64B4" w:rsidRPr="00A96026">
        <w:rPr>
          <w:sz w:val="20"/>
          <w:lang w:val="en-GB"/>
        </w:rPr>
        <w:t>Operator of refuelling facilities</w:t>
      </w:r>
    </w:p>
    <w:p w:rsidR="007C64B4" w:rsidRPr="00B92FA1" w:rsidRDefault="007C64B4" w:rsidP="007C64B4">
      <w:pPr>
        <w:jc w:val="both"/>
        <w:rPr>
          <w:lang w:val="en-GB"/>
        </w:rPr>
      </w:pPr>
      <w:r w:rsidRPr="00B92FA1">
        <w:rPr>
          <w:lang w:val="en-GB"/>
        </w:rPr>
        <w:t xml:space="preserve">Concerning the market structure in refuelling facilities, there is </w:t>
      </w:r>
      <w:r>
        <w:rPr>
          <w:lang w:val="en-GB"/>
        </w:rPr>
        <w:t>significant</w:t>
      </w:r>
      <w:r w:rsidRPr="00B92FA1">
        <w:rPr>
          <w:lang w:val="en-GB"/>
        </w:rPr>
        <w:t xml:space="preserve"> competition in the market. In Germany non-incumbent </w:t>
      </w:r>
      <w:r>
        <w:rPr>
          <w:lang w:val="en-GB"/>
        </w:rPr>
        <w:t>railway undertaking</w:t>
      </w:r>
      <w:r w:rsidRPr="00B92FA1">
        <w:rPr>
          <w:lang w:val="en-GB"/>
        </w:rPr>
        <w:t>s</w:t>
      </w:r>
      <w:r>
        <w:rPr>
          <w:lang w:val="en-GB"/>
        </w:rPr>
        <w:t xml:space="preserve"> operate about </w:t>
      </w:r>
      <w:r w:rsidRPr="00B92FA1">
        <w:rPr>
          <w:lang w:val="en-GB"/>
        </w:rPr>
        <w:t xml:space="preserve">130 facilities </w:t>
      </w:r>
      <w:r>
        <w:rPr>
          <w:lang w:val="en-GB"/>
        </w:rPr>
        <w:t>whereas</w:t>
      </w:r>
      <w:r w:rsidRPr="00B92FA1">
        <w:rPr>
          <w:lang w:val="en-GB"/>
        </w:rPr>
        <w:t xml:space="preserve"> </w:t>
      </w:r>
      <w:r>
        <w:rPr>
          <w:lang w:val="en-GB"/>
        </w:rPr>
        <w:t xml:space="preserve">about </w:t>
      </w:r>
      <w:r w:rsidRPr="00B92FA1">
        <w:rPr>
          <w:lang w:val="en-GB"/>
        </w:rPr>
        <w:t>1</w:t>
      </w:r>
      <w:r>
        <w:rPr>
          <w:lang w:val="en-GB"/>
        </w:rPr>
        <w:t>8</w:t>
      </w:r>
      <w:r w:rsidRPr="00B92FA1">
        <w:rPr>
          <w:lang w:val="en-GB"/>
        </w:rPr>
        <w:t xml:space="preserve">0 are operated by </w:t>
      </w:r>
      <w:r>
        <w:rPr>
          <w:lang w:val="en-GB"/>
        </w:rPr>
        <w:t xml:space="preserve">DB </w:t>
      </w:r>
      <w:proofErr w:type="spellStart"/>
      <w:r>
        <w:rPr>
          <w:lang w:val="en-GB"/>
        </w:rPr>
        <w:t>Energie</w:t>
      </w:r>
      <w:proofErr w:type="spellEnd"/>
      <w:r>
        <w:rPr>
          <w:lang w:val="en-GB"/>
        </w:rPr>
        <w:t xml:space="preserve"> GmbH, part of DB holding</w:t>
      </w:r>
      <w:r w:rsidRPr="00B92FA1">
        <w:rPr>
          <w:lang w:val="en-GB"/>
        </w:rPr>
        <w:t xml:space="preserve">. In </w:t>
      </w:r>
      <w:r>
        <w:rPr>
          <w:lang w:val="en-GB"/>
        </w:rPr>
        <w:t>many</w:t>
      </w:r>
      <w:r w:rsidRPr="00B92FA1">
        <w:rPr>
          <w:lang w:val="en-GB"/>
        </w:rPr>
        <w:t xml:space="preserve"> countries, like Sweden </w:t>
      </w:r>
      <w:r>
        <w:rPr>
          <w:lang w:val="en-GB"/>
        </w:rPr>
        <w:t xml:space="preserve">and the UK </w:t>
      </w:r>
      <w:r w:rsidRPr="00B92FA1">
        <w:rPr>
          <w:lang w:val="en-GB"/>
        </w:rPr>
        <w:t xml:space="preserve">for example, no refuelling facilities are operated by the </w:t>
      </w:r>
      <w:r>
        <w:rPr>
          <w:lang w:val="en-GB"/>
        </w:rPr>
        <w:t>infrastructure manager</w:t>
      </w:r>
      <w:r w:rsidRPr="00B92FA1">
        <w:rPr>
          <w:lang w:val="en-GB"/>
        </w:rPr>
        <w:t>. In Austria, Croatia, Norway and Spain</w:t>
      </w:r>
      <w:r>
        <w:rPr>
          <w:lang w:val="en-GB"/>
        </w:rPr>
        <w:t xml:space="preserve">, </w:t>
      </w:r>
      <w:r w:rsidRPr="00B92FA1">
        <w:rPr>
          <w:lang w:val="en-GB"/>
        </w:rPr>
        <w:t xml:space="preserve">the market for refuelling facilities is dominated by the </w:t>
      </w:r>
      <w:r>
        <w:rPr>
          <w:lang w:val="en-GB"/>
        </w:rPr>
        <w:t>infrastructure manager</w:t>
      </w:r>
      <w:r w:rsidRPr="00B92FA1">
        <w:rPr>
          <w:lang w:val="en-GB"/>
        </w:rPr>
        <w:t xml:space="preserve"> or the incumbent </w:t>
      </w:r>
      <w:r>
        <w:rPr>
          <w:lang w:val="en-GB"/>
        </w:rPr>
        <w:t>railway operator</w:t>
      </w:r>
      <w:r w:rsidRPr="00B92FA1">
        <w:rPr>
          <w:lang w:val="en-GB"/>
        </w:rPr>
        <w:t>. In contrast</w:t>
      </w:r>
      <w:r>
        <w:rPr>
          <w:lang w:val="en-GB"/>
        </w:rPr>
        <w:t>,</w:t>
      </w:r>
      <w:r w:rsidRPr="00B92FA1">
        <w:rPr>
          <w:lang w:val="en-GB"/>
        </w:rPr>
        <w:t xml:space="preserve"> </w:t>
      </w:r>
      <w:r>
        <w:rPr>
          <w:lang w:val="en-GB"/>
        </w:rPr>
        <w:t xml:space="preserve">in France half of the refuelling facilities </w:t>
      </w:r>
      <w:proofErr w:type="gramStart"/>
      <w:r>
        <w:rPr>
          <w:lang w:val="en-GB"/>
        </w:rPr>
        <w:t>belongs</w:t>
      </w:r>
      <w:proofErr w:type="gramEnd"/>
      <w:r>
        <w:rPr>
          <w:lang w:val="en-GB"/>
        </w:rPr>
        <w:t xml:space="preserve"> to SNCF Mobilités and half belongs to SNCF Réseau</w:t>
      </w:r>
      <w:r w:rsidR="00917872">
        <w:rPr>
          <w:lang w:val="en-GB"/>
        </w:rPr>
        <w:t>,</w:t>
      </w:r>
      <w:r>
        <w:rPr>
          <w:lang w:val="en-GB"/>
        </w:rPr>
        <w:t xml:space="preserve"> but only one service facility operator, SNCF Combustible</w:t>
      </w:r>
      <w:r>
        <w:rPr>
          <w:rStyle w:val="Appelnotedebasdep"/>
          <w:lang w:val="en-GB"/>
        </w:rPr>
        <w:footnoteReference w:id="45"/>
      </w:r>
      <w:r>
        <w:rPr>
          <w:lang w:val="en-GB"/>
        </w:rPr>
        <w:t xml:space="preserve">, operates those refuelling </w:t>
      </w:r>
      <w:r>
        <w:rPr>
          <w:lang w:val="en-GB"/>
        </w:rPr>
        <w:lastRenderedPageBreak/>
        <w:t>facilities</w:t>
      </w:r>
      <w:r w:rsidRPr="00B92FA1">
        <w:rPr>
          <w:lang w:val="en-GB"/>
        </w:rPr>
        <w:t xml:space="preserve">. The competition in the market may not come only from </w:t>
      </w:r>
      <w:r>
        <w:rPr>
          <w:lang w:val="en-GB"/>
        </w:rPr>
        <w:t>locally fixed</w:t>
      </w:r>
      <w:r w:rsidRPr="00B92FA1">
        <w:rPr>
          <w:lang w:val="en-GB"/>
        </w:rPr>
        <w:t xml:space="preserve"> refuelling facilities, but may also come from “on-demand tank trucks”, as they are available in Norway, France or Sweden.</w:t>
      </w:r>
    </w:p>
    <w:p w:rsidR="007C64B4" w:rsidRPr="00B92FA1" w:rsidRDefault="007C64B4" w:rsidP="007C64B4">
      <w:pPr>
        <w:jc w:val="both"/>
        <w:rPr>
          <w:lang w:val="en-GB"/>
        </w:rPr>
      </w:pPr>
    </w:p>
    <w:p w:rsidR="007C64B4" w:rsidRPr="00B92FA1" w:rsidRDefault="007C64B4" w:rsidP="007C64B4">
      <w:pPr>
        <w:jc w:val="both"/>
        <w:rPr>
          <w:lang w:val="en-GB"/>
        </w:rPr>
      </w:pPr>
      <w:r w:rsidRPr="00B92FA1">
        <w:rPr>
          <w:lang w:val="en-GB"/>
        </w:rPr>
        <w:t>Again, for Austria, Croatia, Spain, and Germany the term “cost of providing a service” correspond</w:t>
      </w:r>
      <w:r>
        <w:rPr>
          <w:lang w:val="en-GB"/>
        </w:rPr>
        <w:t>s</w:t>
      </w:r>
      <w:r w:rsidRPr="00B92FA1">
        <w:rPr>
          <w:lang w:val="en-GB"/>
        </w:rPr>
        <w:t xml:space="preserve"> to OPEX and CAPEX. In Finland, France, the Netherlands and Sweden there is no definition in national law. In Italy</w:t>
      </w:r>
      <w:r>
        <w:rPr>
          <w:lang w:val="en-GB"/>
        </w:rPr>
        <w:t xml:space="preserve">, </w:t>
      </w:r>
      <w:r w:rsidRPr="00B92FA1">
        <w:rPr>
          <w:lang w:val="en-GB"/>
        </w:rPr>
        <w:t>a full distribut</w:t>
      </w:r>
      <w:r>
        <w:rPr>
          <w:lang w:val="en-GB"/>
        </w:rPr>
        <w:t>ed</w:t>
      </w:r>
      <w:r w:rsidRPr="00B92FA1">
        <w:rPr>
          <w:lang w:val="en-GB"/>
        </w:rPr>
        <w:t xml:space="preserve"> costing </w:t>
      </w:r>
      <w:r>
        <w:rPr>
          <w:lang w:val="en-GB"/>
        </w:rPr>
        <w:t>is</w:t>
      </w:r>
      <w:r w:rsidRPr="00B92FA1">
        <w:rPr>
          <w:lang w:val="en-GB"/>
        </w:rPr>
        <w:t xml:space="preserve"> applied, when the </w:t>
      </w:r>
      <w:r>
        <w:rPr>
          <w:lang w:val="en-GB"/>
        </w:rPr>
        <w:t>service facility operator</w:t>
      </w:r>
      <w:r w:rsidRPr="00B92FA1">
        <w:rPr>
          <w:lang w:val="en-GB"/>
        </w:rPr>
        <w:t xml:space="preserve"> hold</w:t>
      </w:r>
      <w:r>
        <w:rPr>
          <w:lang w:val="en-GB"/>
        </w:rPr>
        <w:t>s</w:t>
      </w:r>
      <w:r w:rsidRPr="00B92FA1">
        <w:rPr>
          <w:lang w:val="en-GB"/>
        </w:rPr>
        <w:t xml:space="preserve"> a significant market share.</w:t>
      </w:r>
    </w:p>
    <w:p w:rsidR="007C64B4" w:rsidRPr="00B92FA1" w:rsidRDefault="007C64B4" w:rsidP="007C64B4">
      <w:pPr>
        <w:jc w:val="both"/>
        <w:rPr>
          <w:lang w:val="en-GB"/>
        </w:rPr>
      </w:pPr>
    </w:p>
    <w:p w:rsidR="007C64B4" w:rsidRPr="00B92FA1" w:rsidRDefault="007C64B4" w:rsidP="007C64B4">
      <w:pPr>
        <w:jc w:val="both"/>
        <w:rPr>
          <w:lang w:val="en-GB"/>
        </w:rPr>
      </w:pPr>
      <w:r w:rsidRPr="00B92FA1">
        <w:rPr>
          <w:lang w:val="en-GB"/>
        </w:rPr>
        <w:t>Austria, France, Italy and Spain use all operati</w:t>
      </w:r>
      <w:r>
        <w:rPr>
          <w:lang w:val="en-GB"/>
        </w:rPr>
        <w:t>ng</w:t>
      </w:r>
      <w:r w:rsidRPr="00B92FA1">
        <w:rPr>
          <w:lang w:val="en-GB"/>
        </w:rPr>
        <w:t xml:space="preserve"> and capital costs</w:t>
      </w:r>
      <w:r w:rsidRPr="00544A2E">
        <w:rPr>
          <w:lang w:val="en-GB"/>
        </w:rPr>
        <w:t xml:space="preserve"> </w:t>
      </w:r>
      <w:r w:rsidRPr="00B92FA1">
        <w:rPr>
          <w:lang w:val="en-GB"/>
        </w:rPr>
        <w:t xml:space="preserve">for determining the charges, while Croatia only uses OPEX. For the Netherlands and </w:t>
      </w:r>
      <w:r>
        <w:rPr>
          <w:lang w:val="en-GB"/>
        </w:rPr>
        <w:t>t</w:t>
      </w:r>
      <w:r w:rsidRPr="005622E4">
        <w:rPr>
          <w:lang w:val="en-GB"/>
        </w:rPr>
        <w:t>here is no information available on further principles or methods for calculating the cost of providing service</w:t>
      </w:r>
      <w:r>
        <w:rPr>
          <w:lang w:val="en-GB"/>
        </w:rPr>
        <w:t>s</w:t>
      </w:r>
      <w:r w:rsidRPr="00B92FA1">
        <w:rPr>
          <w:lang w:val="en-GB"/>
        </w:rPr>
        <w:t>.</w:t>
      </w:r>
    </w:p>
    <w:p w:rsidR="007C64B4" w:rsidRDefault="007C64B4" w:rsidP="007C64B4">
      <w:pPr>
        <w:jc w:val="both"/>
        <w:rPr>
          <w:b/>
          <w:bCs/>
          <w:u w:val="single"/>
          <w:lang w:val="en-GB"/>
        </w:rPr>
      </w:pPr>
    </w:p>
    <w:p w:rsidR="007C64B4" w:rsidRPr="00900368" w:rsidRDefault="007C64B4" w:rsidP="007C64B4">
      <w:pPr>
        <w:pStyle w:val="Paragraphedeliste"/>
        <w:numPr>
          <w:ilvl w:val="0"/>
          <w:numId w:val="9"/>
        </w:numPr>
        <w:outlineLvl w:val="0"/>
        <w:rPr>
          <w:rFonts w:ascii="Times New Roman" w:hAnsi="Times New Roman"/>
          <w:b/>
          <w:bCs/>
          <w:sz w:val="24"/>
          <w:szCs w:val="24"/>
          <w:u w:val="single"/>
        </w:rPr>
      </w:pPr>
      <w:bookmarkStart w:id="14" w:name="_Toc496702653"/>
      <w:r w:rsidRPr="00900368">
        <w:rPr>
          <w:rFonts w:ascii="Times New Roman" w:hAnsi="Times New Roman"/>
          <w:b/>
          <w:bCs/>
          <w:sz w:val="24"/>
          <w:szCs w:val="24"/>
          <w:u w:val="single"/>
        </w:rPr>
        <w:t>Conclusion</w:t>
      </w:r>
      <w:bookmarkEnd w:id="14"/>
    </w:p>
    <w:p w:rsidR="007C64B4" w:rsidRDefault="007C64B4" w:rsidP="007C64B4">
      <w:pPr>
        <w:jc w:val="both"/>
        <w:rPr>
          <w:bCs/>
          <w:lang w:val="en-GB"/>
        </w:rPr>
      </w:pPr>
      <w:r w:rsidRPr="004816A1">
        <w:rPr>
          <w:bCs/>
          <w:lang w:val="en-GB"/>
        </w:rPr>
        <w:t xml:space="preserve">The </w:t>
      </w:r>
      <w:r>
        <w:rPr>
          <w:bCs/>
          <w:lang w:val="en-GB"/>
        </w:rPr>
        <w:t>provisions of the R</w:t>
      </w:r>
      <w:r w:rsidRPr="004816A1">
        <w:rPr>
          <w:bCs/>
          <w:lang w:val="en-GB"/>
        </w:rPr>
        <w:t>ecast concerning service facil</w:t>
      </w:r>
      <w:r>
        <w:rPr>
          <w:bCs/>
          <w:lang w:val="en-GB"/>
        </w:rPr>
        <w:t>i</w:t>
      </w:r>
      <w:r w:rsidRPr="004816A1">
        <w:rPr>
          <w:bCs/>
          <w:lang w:val="en-GB"/>
        </w:rPr>
        <w:t xml:space="preserve">ties </w:t>
      </w:r>
      <w:r>
        <w:rPr>
          <w:bCs/>
          <w:lang w:val="en-GB"/>
        </w:rPr>
        <w:t>have been transposed into national law in all countries that answered the questionnaire</w:t>
      </w:r>
      <w:r w:rsidRPr="004816A1">
        <w:rPr>
          <w:bCs/>
          <w:lang w:val="en-GB"/>
        </w:rPr>
        <w:t xml:space="preserve">. </w:t>
      </w:r>
      <w:r>
        <w:rPr>
          <w:bCs/>
          <w:lang w:val="en-GB"/>
        </w:rPr>
        <w:t xml:space="preserve">Regarding the role of regulatory bodies in influencing or setting the charges or taking part in the consultation process there are significant differences among the different countries. The regulation on accounting separation and regulatory accounting differs significantly among the participating IRG-Rail members. </w:t>
      </w:r>
    </w:p>
    <w:p w:rsidR="007C64B4" w:rsidRDefault="007C64B4" w:rsidP="007C64B4">
      <w:pPr>
        <w:rPr>
          <w:bCs/>
          <w:lang w:val="en-GB"/>
        </w:rPr>
      </w:pPr>
    </w:p>
    <w:p w:rsidR="007C64B4" w:rsidRPr="004816A1" w:rsidRDefault="007C64B4" w:rsidP="007C64B4">
      <w:pPr>
        <w:jc w:val="both"/>
        <w:rPr>
          <w:bCs/>
          <w:lang w:val="en-GB"/>
        </w:rPr>
      </w:pPr>
      <w:r>
        <w:rPr>
          <w:bCs/>
          <w:lang w:val="en-GB"/>
        </w:rPr>
        <w:t>When regulating the charges for service facilities, some countries require consultation, whilst in other countries there is no obligation to do so. Some regulators give a binding opinion or a decision ex-ante, whilst others take ex-post decisions.</w:t>
      </w:r>
    </w:p>
    <w:p w:rsidR="007C64B4" w:rsidRDefault="007C64B4" w:rsidP="007C64B4">
      <w:pPr>
        <w:rPr>
          <w:b/>
          <w:bCs/>
          <w:u w:val="single"/>
          <w:lang w:val="en-GB"/>
        </w:rPr>
      </w:pPr>
    </w:p>
    <w:p w:rsidR="007C64B4" w:rsidRDefault="007C64B4" w:rsidP="007C64B4">
      <w:pPr>
        <w:jc w:val="both"/>
        <w:rPr>
          <w:bCs/>
          <w:lang w:val="en-GB"/>
        </w:rPr>
      </w:pPr>
      <w:r>
        <w:rPr>
          <w:bCs/>
          <w:lang w:val="en-GB"/>
        </w:rPr>
        <w:t xml:space="preserve">Most member states are using the same charging principles for access to service facilities and rail-related services. Nevertheless there are some differences in charging principles for different service facilities in different countries. The “cost of providing a service” is not defined in the law in many countries, while others understand it as OPEX and CAPEX. While OPEX and CAPEX are a generally accepted concept in economics and regulation, the costs that are allocated to OPEX and CAPEX differ among the IRG-Rail members. </w:t>
      </w:r>
    </w:p>
    <w:p w:rsidR="007C64B4" w:rsidRDefault="007C64B4" w:rsidP="007C64B4">
      <w:pPr>
        <w:jc w:val="both"/>
        <w:rPr>
          <w:bCs/>
          <w:lang w:val="en-GB"/>
        </w:rPr>
      </w:pPr>
    </w:p>
    <w:p w:rsidR="007C64B4" w:rsidRDefault="007C64B4" w:rsidP="007C64B4">
      <w:pPr>
        <w:jc w:val="both"/>
        <w:rPr>
          <w:bCs/>
          <w:lang w:val="en-GB"/>
        </w:rPr>
      </w:pPr>
      <w:r>
        <w:rPr>
          <w:bCs/>
          <w:lang w:val="en-GB"/>
        </w:rPr>
        <w:t>The analysis of the questionnaire’s findings gives an overview on the variety of approaches with IRG-Rail members, but highlights that there does not appear to be a best practice approach at this stage as each country seems to adopt the approach that is more suitable to their own situation. Further work is therefore needed to get a better understanding of the topic and to develop good practices for charging of service facilities.</w:t>
      </w:r>
    </w:p>
    <w:p w:rsidR="007C64B4" w:rsidRDefault="007C64B4" w:rsidP="007C64B4">
      <w:pPr>
        <w:jc w:val="both"/>
        <w:rPr>
          <w:b/>
          <w:bCs/>
          <w:u w:val="single"/>
          <w:lang w:val="en-GB" w:eastAsia="en-US"/>
        </w:rPr>
      </w:pPr>
    </w:p>
    <w:p w:rsidR="00A51E8E" w:rsidRDefault="00A51E8E">
      <w:pPr>
        <w:rPr>
          <w:b/>
          <w:bCs/>
          <w:u w:val="single"/>
          <w:lang w:val="en-GB" w:eastAsia="en-US"/>
        </w:rPr>
      </w:pPr>
      <w:bookmarkStart w:id="15" w:name="__RefHeading__5323_1151380434"/>
      <w:bookmarkStart w:id="16" w:name="_Toc494177953"/>
      <w:bookmarkStart w:id="17" w:name="_Toc495652230"/>
      <w:bookmarkEnd w:id="15"/>
      <w:r w:rsidRPr="009B4A9D">
        <w:rPr>
          <w:b/>
          <w:bCs/>
          <w:u w:val="single"/>
          <w:lang w:val="en-US"/>
        </w:rPr>
        <w:br w:type="page"/>
      </w:r>
    </w:p>
    <w:p w:rsidR="007C64B4" w:rsidRPr="00B92FA1" w:rsidRDefault="007C64B4" w:rsidP="007C64B4">
      <w:pPr>
        <w:pStyle w:val="Paragraphedeliste"/>
        <w:numPr>
          <w:ilvl w:val="0"/>
          <w:numId w:val="9"/>
        </w:numPr>
        <w:outlineLvl w:val="0"/>
        <w:rPr>
          <w:rFonts w:ascii="Times New Roman" w:hAnsi="Times New Roman"/>
          <w:b/>
          <w:bCs/>
          <w:sz w:val="24"/>
          <w:szCs w:val="24"/>
          <w:u w:val="single"/>
        </w:rPr>
      </w:pPr>
      <w:bookmarkStart w:id="18" w:name="_Toc496702654"/>
      <w:r w:rsidRPr="00B92FA1">
        <w:rPr>
          <w:rFonts w:ascii="Times New Roman" w:hAnsi="Times New Roman"/>
          <w:b/>
          <w:bCs/>
          <w:sz w:val="24"/>
          <w:szCs w:val="24"/>
          <w:u w:val="single"/>
        </w:rPr>
        <w:lastRenderedPageBreak/>
        <w:t xml:space="preserve">Annex: Additional information on charging for service facilities </w:t>
      </w:r>
      <w:r>
        <w:rPr>
          <w:rFonts w:ascii="Times New Roman" w:hAnsi="Times New Roman"/>
          <w:b/>
          <w:bCs/>
          <w:sz w:val="24"/>
          <w:szCs w:val="24"/>
          <w:u w:val="single"/>
        </w:rPr>
        <w:t>from</w:t>
      </w:r>
      <w:r w:rsidRPr="00B92FA1">
        <w:rPr>
          <w:rFonts w:ascii="Times New Roman" w:hAnsi="Times New Roman"/>
          <w:b/>
          <w:bCs/>
          <w:sz w:val="24"/>
          <w:szCs w:val="24"/>
          <w:u w:val="single"/>
        </w:rPr>
        <w:t xml:space="preserve"> IRG-Rail members</w:t>
      </w:r>
      <w:bookmarkEnd w:id="16"/>
      <w:bookmarkEnd w:id="17"/>
      <w:bookmarkEnd w:id="18"/>
    </w:p>
    <w:p w:rsidR="007C64B4" w:rsidRDefault="007C64B4" w:rsidP="007C64B4">
      <w:pPr>
        <w:pStyle w:val="Paragraphedeliste"/>
        <w:outlineLvl w:val="0"/>
        <w:rPr>
          <w:rFonts w:ascii="Times New Roman" w:hAnsi="Times New Roman"/>
        </w:rPr>
      </w:pPr>
    </w:p>
    <w:p w:rsidR="007C64B4" w:rsidRPr="007F081C" w:rsidRDefault="007C64B4" w:rsidP="007C64B4">
      <w:pPr>
        <w:jc w:val="both"/>
        <w:rPr>
          <w:lang w:val="en-US"/>
        </w:rPr>
      </w:pPr>
      <w:r>
        <w:rPr>
          <w:lang w:val="en-US"/>
        </w:rPr>
        <w:t>This</w:t>
      </w:r>
      <w:r w:rsidRPr="007F081C">
        <w:rPr>
          <w:lang w:val="en-US"/>
        </w:rPr>
        <w:t xml:space="preserve"> Annex </w:t>
      </w:r>
      <w:r>
        <w:rPr>
          <w:lang w:val="en-US"/>
        </w:rPr>
        <w:t xml:space="preserve">shows </w:t>
      </w:r>
      <w:r w:rsidRPr="007F081C">
        <w:rPr>
          <w:lang w:val="en-US"/>
        </w:rPr>
        <w:t>the number of service facilit</w:t>
      </w:r>
      <w:r>
        <w:rPr>
          <w:lang w:val="en-US"/>
        </w:rPr>
        <w:t xml:space="preserve">ies </w:t>
      </w:r>
      <w:r w:rsidRPr="007F081C">
        <w:rPr>
          <w:lang w:val="en-US"/>
        </w:rPr>
        <w:t xml:space="preserve">per country. </w:t>
      </w:r>
      <w:r>
        <w:rPr>
          <w:lang w:val="en-US"/>
        </w:rPr>
        <w:t>For most countries, t</w:t>
      </w:r>
      <w:r w:rsidRPr="007F081C">
        <w:rPr>
          <w:lang w:val="en-US"/>
        </w:rPr>
        <w:t xml:space="preserve">he numbers </w:t>
      </w:r>
      <w:r>
        <w:rPr>
          <w:lang w:val="en-US"/>
        </w:rPr>
        <w:t>reflect the information obtained for</w:t>
      </w:r>
      <w:r w:rsidRPr="007F081C">
        <w:rPr>
          <w:lang w:val="en-US"/>
        </w:rPr>
        <w:t xml:space="preserve"> the IRG-Rail market monitoring survey for the year 2015. </w:t>
      </w:r>
      <w:r>
        <w:rPr>
          <w:lang w:val="en-US"/>
        </w:rPr>
        <w:t>The</w:t>
      </w:r>
      <w:r w:rsidRPr="007F081C">
        <w:rPr>
          <w:lang w:val="en-US"/>
        </w:rPr>
        <w:t xml:space="preserve"> </w:t>
      </w:r>
      <w:r>
        <w:rPr>
          <w:lang w:val="en-US"/>
        </w:rPr>
        <w:t xml:space="preserve">data was </w:t>
      </w:r>
      <w:r w:rsidRPr="007F081C">
        <w:rPr>
          <w:lang w:val="en-US"/>
        </w:rPr>
        <w:t xml:space="preserve">collected </w:t>
      </w:r>
      <w:r>
        <w:rPr>
          <w:lang w:val="en-US"/>
        </w:rPr>
        <w:t>but was</w:t>
      </w:r>
      <w:r w:rsidRPr="007F081C">
        <w:rPr>
          <w:lang w:val="en-US"/>
        </w:rPr>
        <w:t xml:space="preserve"> not published in the IRG-Rail market monitoring report for 2015. </w:t>
      </w:r>
      <w:r>
        <w:rPr>
          <w:lang w:val="en-US"/>
        </w:rPr>
        <w:t xml:space="preserve">The Annex also lists key </w:t>
      </w:r>
      <w:r w:rsidRPr="007F081C">
        <w:rPr>
          <w:lang w:val="en-US"/>
        </w:rPr>
        <w:t xml:space="preserve">decisions on charges for Service Facilities </w:t>
      </w:r>
      <w:r>
        <w:rPr>
          <w:lang w:val="en-US"/>
        </w:rPr>
        <w:t>per</w:t>
      </w:r>
      <w:r w:rsidRPr="007F081C">
        <w:rPr>
          <w:lang w:val="en-US"/>
        </w:rPr>
        <w:t xml:space="preserve"> member state from 201</w:t>
      </w:r>
      <w:r>
        <w:rPr>
          <w:lang w:val="en-US"/>
        </w:rPr>
        <w:t>5</w:t>
      </w:r>
      <w:r w:rsidRPr="007F081C">
        <w:rPr>
          <w:lang w:val="en-US"/>
        </w:rPr>
        <w:t xml:space="preserve"> to 201</w:t>
      </w:r>
      <w:r>
        <w:rPr>
          <w:lang w:val="en-US"/>
        </w:rPr>
        <w:t>7</w:t>
      </w:r>
      <w:r w:rsidRPr="007F081C">
        <w:rPr>
          <w:lang w:val="en-US"/>
        </w:rPr>
        <w:t>.</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19" w:name="__RefHeading__5325_1151380434"/>
      <w:bookmarkStart w:id="20" w:name="_Toc494177954"/>
      <w:bookmarkStart w:id="21" w:name="_Toc495652231"/>
      <w:bookmarkStart w:id="22" w:name="_Toc496702655"/>
      <w:bookmarkEnd w:id="19"/>
      <w:r w:rsidRPr="0046443F">
        <w:rPr>
          <w:rFonts w:ascii="Times New Roman" w:hAnsi="Times New Roman" w:cs="Times New Roman"/>
          <w:b/>
          <w:color w:val="auto"/>
          <w:sz w:val="24"/>
          <w:szCs w:val="24"/>
        </w:rPr>
        <w:t>Austria</w:t>
      </w:r>
      <w:bookmarkEnd w:id="20"/>
      <w:bookmarkEnd w:id="21"/>
      <w:bookmarkEnd w:id="22"/>
      <w:r w:rsidRPr="0046443F">
        <w:rPr>
          <w:rFonts w:ascii="Times New Roman" w:hAnsi="Times New Roman" w:cs="Times New Roman"/>
          <w:b/>
          <w:color w:val="auto"/>
          <w:sz w:val="24"/>
          <w:szCs w:val="24"/>
        </w:rPr>
        <w:t xml:space="preserve"> </w:t>
      </w:r>
    </w:p>
    <w:tbl>
      <w:tblPr>
        <w:tblStyle w:val="Grilledutableau"/>
        <w:tblW w:w="9080" w:type="dxa"/>
        <w:jc w:val="center"/>
        <w:tblLook w:val="04A0" w:firstRow="1" w:lastRow="0" w:firstColumn="1" w:lastColumn="0" w:noHBand="0" w:noVBand="1"/>
      </w:tblPr>
      <w:tblGrid>
        <w:gridCol w:w="2268"/>
        <w:gridCol w:w="1701"/>
        <w:gridCol w:w="1701"/>
        <w:gridCol w:w="1701"/>
        <w:gridCol w:w="1701"/>
        <w:gridCol w:w="8"/>
      </w:tblGrid>
      <w:tr w:rsidR="007C64B4" w:rsidRPr="00282239" w:rsidTr="007C64B4">
        <w:trPr>
          <w:jc w:val="center"/>
        </w:trPr>
        <w:tc>
          <w:tcPr>
            <w:tcW w:w="9080" w:type="dxa"/>
            <w:gridSpan w:val="6"/>
          </w:tcPr>
          <w:p w:rsidR="007C64B4" w:rsidRPr="00C745E9" w:rsidRDefault="007C64B4" w:rsidP="007C64B4">
            <w:pPr>
              <w:jc w:val="center"/>
              <w:rPr>
                <w:lang w:val="en-GB"/>
              </w:rPr>
            </w:pPr>
            <w:r>
              <w:rPr>
                <w:lang w:val="en-US"/>
              </w:rPr>
              <w:t>Service facilities in Austria in 2015</w:t>
            </w:r>
          </w:p>
        </w:tc>
      </w:tr>
      <w:tr w:rsidR="007C64B4" w:rsidRPr="00282239" w:rsidTr="007C64B4">
        <w:trPr>
          <w:gridAfter w:val="1"/>
          <w:wAfter w:w="8" w:type="dxa"/>
          <w:jc w:val="center"/>
        </w:trPr>
        <w:tc>
          <w:tcPr>
            <w:tcW w:w="2268" w:type="dxa"/>
          </w:tcPr>
          <w:p w:rsidR="007C64B4" w:rsidRPr="00C745E9" w:rsidRDefault="007C64B4" w:rsidP="007C64B4">
            <w:pPr>
              <w:rPr>
                <w:lang w:val="en-GB"/>
              </w:rPr>
            </w:pPr>
          </w:p>
        </w:tc>
        <w:tc>
          <w:tcPr>
            <w:tcW w:w="1701"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0B29D9">
              <w:rPr>
                <w:sz w:val="16"/>
                <w:szCs w:val="22"/>
                <w:lang w:val="en-GB"/>
              </w:rPr>
              <w:t>and related companies</w:t>
            </w:r>
          </w:p>
        </w:tc>
        <w:tc>
          <w:tcPr>
            <w:tcW w:w="1701" w:type="dxa"/>
          </w:tcPr>
          <w:p w:rsidR="007C64B4" w:rsidRPr="00C745E9" w:rsidRDefault="007C64B4" w:rsidP="007C64B4">
            <w:pPr>
              <w:ind w:left="-51"/>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701" w:type="dxa"/>
          </w:tcPr>
          <w:p w:rsidR="007C64B4" w:rsidRPr="005508A1"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701" w:type="dxa"/>
          </w:tcPr>
          <w:p w:rsidR="007C64B4" w:rsidRPr="005508A1"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gridAfter w:val="1"/>
          <w:wAfter w:w="8" w:type="dxa"/>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701" w:type="dxa"/>
          </w:tcPr>
          <w:p w:rsidR="007C64B4" w:rsidRPr="00FD4AEC" w:rsidRDefault="007C64B4" w:rsidP="007C64B4">
            <w:pPr>
              <w:jc w:val="center"/>
              <w:rPr>
                <w:sz w:val="22"/>
                <w:szCs w:val="22"/>
                <w:lang w:val="en-GB"/>
              </w:rPr>
            </w:pPr>
            <w:r w:rsidRPr="00FD4AEC">
              <w:rPr>
                <w:sz w:val="22"/>
                <w:szCs w:val="22"/>
                <w:lang w:val="en-US"/>
              </w:rPr>
              <w:t>1.095</w:t>
            </w:r>
          </w:p>
        </w:tc>
        <w:tc>
          <w:tcPr>
            <w:tcW w:w="1701" w:type="dxa"/>
          </w:tcPr>
          <w:p w:rsidR="007C64B4" w:rsidRPr="00FD4AEC" w:rsidRDefault="007C64B4" w:rsidP="007C64B4">
            <w:pPr>
              <w:jc w:val="center"/>
              <w:rPr>
                <w:sz w:val="22"/>
                <w:szCs w:val="22"/>
                <w:lang w:val="en-GB"/>
              </w:rPr>
            </w:pPr>
            <w:r w:rsidRPr="00FD4AEC">
              <w:rPr>
                <w:sz w:val="22"/>
                <w:szCs w:val="22"/>
                <w:lang w:val="en-US"/>
              </w:rPr>
              <w:t>88</w:t>
            </w:r>
          </w:p>
        </w:tc>
        <w:tc>
          <w:tcPr>
            <w:tcW w:w="1701" w:type="dxa"/>
          </w:tcPr>
          <w:p w:rsidR="007C64B4" w:rsidRPr="00FD4AEC" w:rsidRDefault="007C64B4" w:rsidP="007C64B4">
            <w:pPr>
              <w:jc w:val="center"/>
              <w:rPr>
                <w:sz w:val="22"/>
                <w:szCs w:val="22"/>
                <w:lang w:val="en-GB"/>
              </w:rPr>
            </w:pPr>
            <w:r w:rsidRPr="00FD4AEC">
              <w:rPr>
                <w:sz w:val="22"/>
                <w:szCs w:val="22"/>
                <w:lang w:val="en-US"/>
              </w:rPr>
              <w:t>236</w:t>
            </w:r>
          </w:p>
        </w:tc>
        <w:tc>
          <w:tcPr>
            <w:tcW w:w="1701" w:type="dxa"/>
          </w:tcPr>
          <w:p w:rsidR="007C64B4" w:rsidRPr="00FD4AEC" w:rsidRDefault="007C64B4" w:rsidP="007C64B4">
            <w:pPr>
              <w:jc w:val="center"/>
              <w:rPr>
                <w:sz w:val="22"/>
                <w:szCs w:val="22"/>
                <w:lang w:val="en-GB"/>
              </w:rPr>
            </w:pPr>
            <w:r w:rsidRPr="00FD4AEC">
              <w:rPr>
                <w:sz w:val="22"/>
                <w:szCs w:val="22"/>
                <w:lang w:val="en-US"/>
              </w:rPr>
              <w:t>0</w:t>
            </w:r>
          </w:p>
        </w:tc>
      </w:tr>
      <w:tr w:rsidR="007C64B4" w:rsidRPr="00FD4AEC" w:rsidTr="007C64B4">
        <w:trPr>
          <w:gridAfter w:val="1"/>
          <w:wAfter w:w="8" w:type="dxa"/>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701" w:type="dxa"/>
          </w:tcPr>
          <w:p w:rsidR="007C64B4" w:rsidRPr="00FD4AEC" w:rsidRDefault="007C64B4" w:rsidP="007C64B4">
            <w:pPr>
              <w:jc w:val="center"/>
              <w:rPr>
                <w:sz w:val="22"/>
                <w:szCs w:val="22"/>
                <w:lang w:val="en-GB"/>
              </w:rPr>
            </w:pPr>
            <w:r w:rsidRPr="00FD4AEC">
              <w:rPr>
                <w:sz w:val="22"/>
                <w:szCs w:val="22"/>
              </w:rPr>
              <w:t>8</w:t>
            </w:r>
          </w:p>
        </w:tc>
        <w:tc>
          <w:tcPr>
            <w:tcW w:w="1701" w:type="dxa"/>
          </w:tcPr>
          <w:p w:rsidR="007C64B4" w:rsidRPr="00FD4AEC" w:rsidRDefault="007C64B4" w:rsidP="007C64B4">
            <w:pPr>
              <w:jc w:val="center"/>
              <w:rPr>
                <w:sz w:val="22"/>
                <w:szCs w:val="22"/>
                <w:lang w:val="en-GB"/>
              </w:rPr>
            </w:pPr>
            <w:r w:rsidRPr="00FD4AEC">
              <w:rPr>
                <w:sz w:val="22"/>
                <w:szCs w:val="22"/>
              </w:rPr>
              <w:t>1</w:t>
            </w:r>
          </w:p>
        </w:tc>
        <w:tc>
          <w:tcPr>
            <w:tcW w:w="1701" w:type="dxa"/>
          </w:tcPr>
          <w:p w:rsidR="007C64B4" w:rsidRPr="00FD4AEC" w:rsidRDefault="007C64B4" w:rsidP="007C64B4">
            <w:pPr>
              <w:jc w:val="center"/>
              <w:rPr>
                <w:sz w:val="22"/>
                <w:szCs w:val="22"/>
                <w:lang w:val="en-GB"/>
              </w:rPr>
            </w:pPr>
            <w:r w:rsidRPr="00FD4AEC">
              <w:rPr>
                <w:sz w:val="22"/>
                <w:szCs w:val="22"/>
              </w:rPr>
              <w:t>0</w:t>
            </w:r>
          </w:p>
        </w:tc>
        <w:tc>
          <w:tcPr>
            <w:tcW w:w="1701" w:type="dxa"/>
          </w:tcPr>
          <w:p w:rsidR="007C64B4" w:rsidRPr="00FD4AEC" w:rsidRDefault="007C64B4" w:rsidP="007C64B4">
            <w:pPr>
              <w:jc w:val="center"/>
              <w:rPr>
                <w:sz w:val="22"/>
                <w:szCs w:val="22"/>
                <w:lang w:val="en-GB"/>
              </w:rPr>
            </w:pPr>
            <w:r w:rsidRPr="00FD4AEC">
              <w:rPr>
                <w:sz w:val="22"/>
                <w:szCs w:val="22"/>
              </w:rPr>
              <w:t>9</w:t>
            </w:r>
          </w:p>
        </w:tc>
      </w:tr>
      <w:tr w:rsidR="007C64B4" w:rsidRPr="00FD4AEC" w:rsidTr="007C64B4">
        <w:trPr>
          <w:gridAfter w:val="1"/>
          <w:wAfter w:w="8" w:type="dxa"/>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701" w:type="dxa"/>
          </w:tcPr>
          <w:p w:rsidR="007C64B4" w:rsidRPr="00FD4AEC" w:rsidRDefault="007C64B4" w:rsidP="007C64B4">
            <w:pPr>
              <w:jc w:val="center"/>
              <w:rPr>
                <w:sz w:val="22"/>
                <w:szCs w:val="22"/>
                <w:lang w:val="en-GB"/>
              </w:rPr>
            </w:pPr>
            <w:r w:rsidRPr="00FD4AEC">
              <w:rPr>
                <w:sz w:val="22"/>
                <w:szCs w:val="22"/>
                <w:lang w:val="en-GB"/>
              </w:rPr>
              <w:t>8</w:t>
            </w:r>
          </w:p>
        </w:tc>
        <w:tc>
          <w:tcPr>
            <w:tcW w:w="1701" w:type="dxa"/>
          </w:tcPr>
          <w:p w:rsidR="007C64B4" w:rsidRPr="00FD4AEC" w:rsidRDefault="007C64B4" w:rsidP="007C64B4">
            <w:pPr>
              <w:jc w:val="center"/>
              <w:rPr>
                <w:sz w:val="22"/>
                <w:szCs w:val="22"/>
                <w:lang w:val="en-GB"/>
              </w:rPr>
            </w:pPr>
            <w:r w:rsidRPr="00FD4AEC">
              <w:rPr>
                <w:sz w:val="22"/>
                <w:szCs w:val="22"/>
                <w:lang w:val="en-GB"/>
              </w:rPr>
              <w:t>0</w:t>
            </w:r>
          </w:p>
        </w:tc>
        <w:tc>
          <w:tcPr>
            <w:tcW w:w="1701" w:type="dxa"/>
          </w:tcPr>
          <w:p w:rsidR="007C64B4" w:rsidRPr="00FD4AEC" w:rsidRDefault="007C64B4" w:rsidP="007C64B4">
            <w:pPr>
              <w:jc w:val="center"/>
              <w:rPr>
                <w:sz w:val="22"/>
                <w:szCs w:val="22"/>
                <w:lang w:val="en-GB"/>
              </w:rPr>
            </w:pPr>
            <w:r w:rsidRPr="00FD4AEC">
              <w:rPr>
                <w:sz w:val="22"/>
                <w:szCs w:val="22"/>
                <w:lang w:val="en-GB"/>
              </w:rPr>
              <w:t>0</w:t>
            </w:r>
          </w:p>
        </w:tc>
        <w:tc>
          <w:tcPr>
            <w:tcW w:w="1701" w:type="dxa"/>
          </w:tcPr>
          <w:p w:rsidR="007C64B4" w:rsidRPr="00FD4AEC" w:rsidRDefault="007C64B4" w:rsidP="007C64B4">
            <w:pPr>
              <w:jc w:val="center"/>
              <w:rPr>
                <w:sz w:val="22"/>
                <w:szCs w:val="22"/>
                <w:lang w:val="en-GB"/>
              </w:rPr>
            </w:pPr>
            <w:r w:rsidRPr="00FD4AEC">
              <w:rPr>
                <w:sz w:val="22"/>
                <w:szCs w:val="22"/>
                <w:lang w:val="en-GB"/>
              </w:rPr>
              <w:t>0</w:t>
            </w:r>
          </w:p>
        </w:tc>
      </w:tr>
      <w:tr w:rsidR="007C64B4" w:rsidRPr="00FD4AEC" w:rsidTr="007C64B4">
        <w:trPr>
          <w:gridAfter w:val="1"/>
          <w:wAfter w:w="8" w:type="dxa"/>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701" w:type="dxa"/>
          </w:tcPr>
          <w:p w:rsidR="007C64B4" w:rsidRPr="00FD4AEC" w:rsidRDefault="007C64B4" w:rsidP="007C64B4">
            <w:pPr>
              <w:jc w:val="center"/>
              <w:rPr>
                <w:sz w:val="22"/>
                <w:szCs w:val="22"/>
                <w:lang w:val="en-GB"/>
              </w:rPr>
            </w:pPr>
            <w:r w:rsidRPr="00FD4AEC">
              <w:rPr>
                <w:sz w:val="22"/>
                <w:szCs w:val="22"/>
              </w:rPr>
              <w:t>21</w:t>
            </w:r>
          </w:p>
        </w:tc>
        <w:tc>
          <w:tcPr>
            <w:tcW w:w="1701" w:type="dxa"/>
          </w:tcPr>
          <w:p w:rsidR="007C64B4" w:rsidRPr="00FD4AEC" w:rsidRDefault="007C64B4" w:rsidP="007C64B4">
            <w:pPr>
              <w:jc w:val="center"/>
              <w:rPr>
                <w:sz w:val="22"/>
                <w:szCs w:val="22"/>
                <w:lang w:val="en-GB"/>
              </w:rPr>
            </w:pPr>
            <w:r w:rsidRPr="00FD4AEC">
              <w:rPr>
                <w:sz w:val="22"/>
                <w:szCs w:val="22"/>
              </w:rPr>
              <w:t>3</w:t>
            </w:r>
          </w:p>
        </w:tc>
        <w:tc>
          <w:tcPr>
            <w:tcW w:w="1701" w:type="dxa"/>
          </w:tcPr>
          <w:p w:rsidR="007C64B4" w:rsidRPr="00FD4AEC" w:rsidRDefault="007C64B4" w:rsidP="007C64B4">
            <w:pPr>
              <w:jc w:val="center"/>
              <w:rPr>
                <w:sz w:val="22"/>
                <w:szCs w:val="22"/>
                <w:lang w:val="en-GB"/>
              </w:rPr>
            </w:pPr>
            <w:r w:rsidRPr="00FD4AEC">
              <w:rPr>
                <w:sz w:val="22"/>
                <w:szCs w:val="22"/>
              </w:rPr>
              <w:t>15</w:t>
            </w:r>
          </w:p>
        </w:tc>
        <w:tc>
          <w:tcPr>
            <w:tcW w:w="1701" w:type="dxa"/>
          </w:tcPr>
          <w:p w:rsidR="007C64B4" w:rsidRPr="00FD4AEC" w:rsidRDefault="007C64B4" w:rsidP="007C64B4">
            <w:pPr>
              <w:jc w:val="center"/>
              <w:rPr>
                <w:sz w:val="22"/>
                <w:szCs w:val="22"/>
                <w:lang w:val="en-GB"/>
              </w:rPr>
            </w:pPr>
            <w:r w:rsidRPr="00FD4AEC">
              <w:rPr>
                <w:sz w:val="22"/>
                <w:szCs w:val="22"/>
              </w:rPr>
              <w:t>0</w:t>
            </w:r>
          </w:p>
        </w:tc>
      </w:tr>
      <w:tr w:rsidR="007C64B4" w:rsidRPr="00FD4AEC" w:rsidTr="007C64B4">
        <w:trPr>
          <w:gridAfter w:val="1"/>
          <w:wAfter w:w="8" w:type="dxa"/>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701" w:type="dxa"/>
          </w:tcPr>
          <w:p w:rsidR="007C64B4" w:rsidRPr="00FD4AEC" w:rsidRDefault="007C64B4" w:rsidP="007C64B4">
            <w:pPr>
              <w:jc w:val="center"/>
              <w:rPr>
                <w:sz w:val="22"/>
                <w:szCs w:val="22"/>
                <w:lang w:val="en-GB"/>
              </w:rPr>
            </w:pPr>
            <w:r w:rsidRPr="00FD4AEC">
              <w:rPr>
                <w:sz w:val="22"/>
                <w:szCs w:val="22"/>
              </w:rPr>
              <w:t>30</w:t>
            </w:r>
          </w:p>
        </w:tc>
        <w:tc>
          <w:tcPr>
            <w:tcW w:w="1701" w:type="dxa"/>
          </w:tcPr>
          <w:p w:rsidR="007C64B4" w:rsidRPr="00FD4AEC" w:rsidRDefault="007C64B4" w:rsidP="007C64B4">
            <w:pPr>
              <w:jc w:val="center"/>
              <w:rPr>
                <w:sz w:val="22"/>
                <w:szCs w:val="22"/>
                <w:lang w:val="en-GB"/>
              </w:rPr>
            </w:pPr>
            <w:r w:rsidRPr="00FD4AEC">
              <w:rPr>
                <w:sz w:val="22"/>
                <w:szCs w:val="22"/>
              </w:rPr>
              <w:t>0</w:t>
            </w:r>
          </w:p>
        </w:tc>
        <w:tc>
          <w:tcPr>
            <w:tcW w:w="1701" w:type="dxa"/>
          </w:tcPr>
          <w:p w:rsidR="007C64B4" w:rsidRPr="00FD4AEC" w:rsidRDefault="007C64B4" w:rsidP="007C64B4">
            <w:pPr>
              <w:jc w:val="center"/>
              <w:rPr>
                <w:sz w:val="22"/>
                <w:szCs w:val="22"/>
                <w:lang w:val="en-GB"/>
              </w:rPr>
            </w:pPr>
            <w:r w:rsidRPr="00FD4AEC">
              <w:rPr>
                <w:sz w:val="22"/>
                <w:szCs w:val="22"/>
              </w:rPr>
              <w:t>12</w:t>
            </w:r>
          </w:p>
        </w:tc>
        <w:tc>
          <w:tcPr>
            <w:tcW w:w="1701" w:type="dxa"/>
          </w:tcPr>
          <w:p w:rsidR="007C64B4" w:rsidRPr="00FD4AEC" w:rsidRDefault="007C64B4" w:rsidP="007C64B4">
            <w:pPr>
              <w:jc w:val="center"/>
              <w:rPr>
                <w:sz w:val="22"/>
                <w:szCs w:val="22"/>
                <w:lang w:val="en-GB"/>
              </w:rPr>
            </w:pPr>
            <w:r w:rsidRPr="00FD4AEC">
              <w:rPr>
                <w:sz w:val="22"/>
                <w:szCs w:val="22"/>
              </w:rPr>
              <w:t>0</w:t>
            </w:r>
          </w:p>
        </w:tc>
      </w:tr>
    </w:tbl>
    <w:p w:rsidR="007C64B4" w:rsidRPr="0027024B" w:rsidRDefault="00A51E8E" w:rsidP="00B0626A">
      <w:pPr>
        <w:spacing w:after="240"/>
        <w:jc w:val="center"/>
        <w:rPr>
          <w:sz w:val="20"/>
          <w:lang w:val="en-GB"/>
        </w:rPr>
      </w:pPr>
      <w:r w:rsidRPr="00A51E8E">
        <w:rPr>
          <w:sz w:val="20"/>
          <w:lang w:val="en-GB"/>
        </w:rPr>
        <w:t xml:space="preserve">Table </w:t>
      </w:r>
      <w:r w:rsidRPr="00A51E8E">
        <w:rPr>
          <w:sz w:val="20"/>
          <w:lang w:val="en-GB"/>
        </w:rPr>
        <w:fldChar w:fldCharType="begin"/>
      </w:r>
      <w:r w:rsidRPr="00A51E8E">
        <w:rPr>
          <w:sz w:val="20"/>
          <w:lang w:val="en-GB"/>
        </w:rPr>
        <w:instrText xml:space="preserve"> SEQ Table \* ARABIC </w:instrText>
      </w:r>
      <w:r w:rsidRPr="00A51E8E">
        <w:rPr>
          <w:sz w:val="20"/>
          <w:lang w:val="en-GB"/>
        </w:rPr>
        <w:fldChar w:fldCharType="separate"/>
      </w:r>
      <w:r w:rsidR="0099201F">
        <w:rPr>
          <w:noProof/>
          <w:sz w:val="20"/>
          <w:lang w:val="en-GB"/>
        </w:rPr>
        <w:t>10</w:t>
      </w:r>
      <w:r w:rsidRPr="00A51E8E">
        <w:rPr>
          <w:sz w:val="20"/>
          <w:lang w:val="en-GB"/>
        </w:rPr>
        <w:fldChar w:fldCharType="end"/>
      </w:r>
      <w:r>
        <w:rPr>
          <w:sz w:val="20"/>
          <w:lang w:val="en-GB"/>
        </w:rPr>
        <w:t xml:space="preserve">: </w:t>
      </w:r>
      <w:r w:rsidR="007C64B4" w:rsidRPr="00A96026">
        <w:rPr>
          <w:sz w:val="20"/>
          <w:lang w:val="en-GB"/>
        </w:rPr>
        <w:t xml:space="preserve">No of service facilities in Austria </w:t>
      </w:r>
      <w:r w:rsidR="007C64B4" w:rsidRPr="00334AA3">
        <w:rPr>
          <w:sz w:val="20"/>
          <w:lang w:val="en-GB"/>
        </w:rPr>
        <w:t>according to the market monitoring survey of IRG-Rail 2016</w:t>
      </w:r>
    </w:p>
    <w:p w:rsidR="007C64B4" w:rsidRPr="00B92FA1" w:rsidRDefault="007C64B4" w:rsidP="007C64B4">
      <w:pPr>
        <w:jc w:val="both"/>
        <w:rPr>
          <w:lang w:val="en-GB"/>
        </w:rPr>
      </w:pPr>
      <w:r>
        <w:rPr>
          <w:lang w:val="en-GB"/>
        </w:rPr>
        <w:t>The Austrian rail regulatory body has taken two d</w:t>
      </w:r>
      <w:r w:rsidRPr="00B92FA1">
        <w:rPr>
          <w:lang w:val="en-GB"/>
        </w:rPr>
        <w:t xml:space="preserve">ecisions </w:t>
      </w:r>
      <w:r>
        <w:rPr>
          <w:lang w:val="en-GB"/>
        </w:rPr>
        <w:t>in regulating charges for service facilities in the years 2015 to 2017. The decisions are available on t</w:t>
      </w:r>
      <w:r w:rsidR="00917872">
        <w:rPr>
          <w:lang w:val="en-GB"/>
        </w:rPr>
        <w:t xml:space="preserve">he homepage of </w:t>
      </w:r>
      <w:proofErr w:type="spellStart"/>
      <w:r w:rsidR="00917872">
        <w:rPr>
          <w:lang w:val="en-GB"/>
        </w:rPr>
        <w:t>Schienen</w:t>
      </w:r>
      <w:proofErr w:type="spellEnd"/>
      <w:r w:rsidR="00917872">
        <w:rPr>
          <w:lang w:val="en-GB"/>
        </w:rPr>
        <w:t xml:space="preserve">-Control </w:t>
      </w:r>
      <w:r>
        <w:rPr>
          <w:lang w:val="en-GB"/>
        </w:rPr>
        <w:t>(</w:t>
      </w:r>
      <w:hyperlink r:id="rId10" w:history="1">
        <w:r w:rsidRPr="00C745E9">
          <w:rPr>
            <w:rStyle w:val="Lienhypertexte"/>
            <w:lang w:val="en-US"/>
          </w:rPr>
          <w:t>http://www.schienencontrol.gv.at/de/veröffentlichungen.html</w:t>
        </w:r>
      </w:hyperlink>
      <w:r w:rsidRPr="00C745E9">
        <w:rPr>
          <w:rStyle w:val="Lienhypertexte"/>
          <w:lang w:val="en-US"/>
        </w:rPr>
        <w:t>)</w:t>
      </w:r>
      <w:r>
        <w:rPr>
          <w:rStyle w:val="Lienhypertexte"/>
          <w:lang w:val="en-US"/>
        </w:rPr>
        <w:t xml:space="preserve"> </w:t>
      </w:r>
      <w:r>
        <w:rPr>
          <w:lang w:val="en-GB"/>
        </w:rPr>
        <w:t xml:space="preserve">in German only: </w:t>
      </w:r>
    </w:p>
    <w:p w:rsidR="007C64B4" w:rsidRPr="00C745E9" w:rsidRDefault="007C64B4" w:rsidP="007C64B4">
      <w:pPr>
        <w:pStyle w:val="Paragraphedeliste"/>
        <w:numPr>
          <w:ilvl w:val="0"/>
          <w:numId w:val="39"/>
        </w:numPr>
        <w:spacing w:line="240" w:lineRule="auto"/>
        <w:jc w:val="both"/>
        <w:rPr>
          <w:rFonts w:ascii="Times New Roman" w:hAnsi="Times New Roman"/>
        </w:rPr>
      </w:pPr>
      <w:r>
        <w:rPr>
          <w:rFonts w:ascii="Times New Roman" w:hAnsi="Times New Roman"/>
        </w:rPr>
        <w:t>Deregulation of the traction power market in 2016: Until 2015 the market for traction current was a monopoly and the railway undertakings had to buy their energy from OEBB-</w:t>
      </w:r>
      <w:proofErr w:type="spellStart"/>
      <w:r>
        <w:rPr>
          <w:rFonts w:ascii="Times New Roman" w:hAnsi="Times New Roman"/>
        </w:rPr>
        <w:t>Infrastruktur</w:t>
      </w:r>
      <w:proofErr w:type="spellEnd"/>
      <w:r>
        <w:rPr>
          <w:rFonts w:ascii="Times New Roman" w:hAnsi="Times New Roman"/>
        </w:rPr>
        <w:t xml:space="preserve"> AG. This changed in the year 2016, and now the railway undertakings purchase their energy from other energy suppliers. However they have to pay for the use of the 16</w:t>
      </w:r>
      <w:proofErr w:type="gramStart"/>
      <w:r>
        <w:rPr>
          <w:rFonts w:ascii="Times New Roman" w:hAnsi="Times New Roman"/>
        </w:rPr>
        <w:t>,7</w:t>
      </w:r>
      <w:proofErr w:type="gramEnd"/>
      <w:r>
        <w:rPr>
          <w:rFonts w:ascii="Times New Roman" w:hAnsi="Times New Roman"/>
        </w:rPr>
        <w:t xml:space="preserve"> Hz electric network of OEBB-</w:t>
      </w:r>
      <w:proofErr w:type="spellStart"/>
      <w:r>
        <w:rPr>
          <w:rFonts w:ascii="Times New Roman" w:hAnsi="Times New Roman"/>
        </w:rPr>
        <w:t>Infrastruktur</w:t>
      </w:r>
      <w:proofErr w:type="spellEnd"/>
      <w:r>
        <w:rPr>
          <w:rFonts w:ascii="Times New Roman" w:hAnsi="Times New Roman"/>
        </w:rPr>
        <w:t xml:space="preserve"> AG. The regulation of this network falls in Austria under the competence of the rail regulatory body and the use of the 16</w:t>
      </w:r>
      <w:proofErr w:type="gramStart"/>
      <w:r>
        <w:rPr>
          <w:rFonts w:ascii="Times New Roman" w:hAnsi="Times New Roman"/>
        </w:rPr>
        <w:t>,7</w:t>
      </w:r>
      <w:proofErr w:type="gramEnd"/>
      <w:r>
        <w:rPr>
          <w:rFonts w:ascii="Times New Roman" w:hAnsi="Times New Roman"/>
        </w:rPr>
        <w:t xml:space="preserve"> Hz electric network is seen a service facility. </w:t>
      </w:r>
      <w:proofErr w:type="spellStart"/>
      <w:r>
        <w:rPr>
          <w:rFonts w:ascii="Times New Roman" w:hAnsi="Times New Roman"/>
        </w:rPr>
        <w:t>Schienen</w:t>
      </w:r>
      <w:proofErr w:type="spellEnd"/>
      <w:r>
        <w:rPr>
          <w:rFonts w:ascii="Times New Roman" w:hAnsi="Times New Roman"/>
        </w:rPr>
        <w:t>-Control investigated the charges and did not accept all costs allocated to the energy network. After the investigation the IM had to lower the charges for the use of the electric network.</w:t>
      </w:r>
    </w:p>
    <w:p w:rsidR="007C64B4" w:rsidRPr="00C745E9" w:rsidRDefault="007C64B4" w:rsidP="007C64B4">
      <w:pPr>
        <w:pStyle w:val="Paragraphedeliste"/>
        <w:numPr>
          <w:ilvl w:val="0"/>
          <w:numId w:val="39"/>
        </w:numPr>
        <w:spacing w:line="240" w:lineRule="auto"/>
        <w:rPr>
          <w:rFonts w:ascii="Times New Roman" w:hAnsi="Times New Roman"/>
        </w:rPr>
      </w:pPr>
      <w:r w:rsidRPr="00C745E9">
        <w:rPr>
          <w:rFonts w:ascii="Times New Roman" w:hAnsi="Times New Roman"/>
        </w:rPr>
        <w:t xml:space="preserve">Promotion: </w:t>
      </w:r>
      <w:r>
        <w:rPr>
          <w:rFonts w:ascii="Times New Roman" w:hAnsi="Times New Roman"/>
        </w:rPr>
        <w:t>If a railway undertaking wants to hand out leaflets, it has to pay a rent so that the promotion staff can use the station. The charges were set by the IM and did not reflect cost of the station properly. After an investigation a part of the charges was declared null and void and other parts of the charges were lowered.</w:t>
      </w:r>
    </w:p>
    <w:p w:rsidR="007C64B4" w:rsidRDefault="007C64B4" w:rsidP="007C64B4">
      <w:pPr>
        <w:rPr>
          <w:sz w:val="22"/>
          <w:szCs w:val="22"/>
          <w:lang w:val="en-GB" w:eastAsia="en-US"/>
        </w:rPr>
      </w:pPr>
    </w:p>
    <w:p w:rsidR="00A51E8E" w:rsidRPr="009B4A9D" w:rsidRDefault="00A51E8E">
      <w:pPr>
        <w:rPr>
          <w:rFonts w:eastAsiaTheme="majorEastAsia"/>
          <w:b/>
          <w:lang w:val="en-US"/>
        </w:rPr>
      </w:pPr>
      <w:bookmarkStart w:id="23" w:name="__RefHeading__5327_1151380434"/>
      <w:bookmarkStart w:id="24" w:name="_Toc494177955"/>
      <w:bookmarkStart w:id="25" w:name="_Toc495652232"/>
      <w:bookmarkEnd w:id="23"/>
      <w:r w:rsidRPr="009B4A9D">
        <w:rPr>
          <w:b/>
          <w:lang w:val="en-US"/>
        </w:rPr>
        <w:br w:type="page"/>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26" w:name="_Toc496702656"/>
      <w:proofErr w:type="spellStart"/>
      <w:r w:rsidRPr="0046443F">
        <w:rPr>
          <w:rFonts w:ascii="Times New Roman" w:hAnsi="Times New Roman" w:cs="Times New Roman"/>
          <w:b/>
          <w:color w:val="auto"/>
          <w:sz w:val="24"/>
          <w:szCs w:val="24"/>
        </w:rPr>
        <w:lastRenderedPageBreak/>
        <w:t>Belgium</w:t>
      </w:r>
      <w:bookmarkEnd w:id="24"/>
      <w:bookmarkEnd w:id="25"/>
      <w:bookmarkEnd w:id="26"/>
      <w:proofErr w:type="spellEnd"/>
      <w:r w:rsidRPr="0046443F">
        <w:rPr>
          <w:rFonts w:ascii="Times New Roman" w:hAnsi="Times New Roman" w:cs="Times New Roman"/>
          <w:b/>
          <w:color w:val="auto"/>
          <w:sz w:val="24"/>
          <w:szCs w:val="24"/>
        </w:rPr>
        <w:t xml:space="preserve"> </w:t>
      </w:r>
    </w:p>
    <w:tbl>
      <w:tblPr>
        <w:tblStyle w:val="Grilledutableau"/>
        <w:tblW w:w="9126" w:type="dxa"/>
        <w:jc w:val="center"/>
        <w:tblLook w:val="04A0" w:firstRow="1" w:lastRow="0" w:firstColumn="1" w:lastColumn="0" w:noHBand="0" w:noVBand="1"/>
      </w:tblPr>
      <w:tblGrid>
        <w:gridCol w:w="2268"/>
        <w:gridCol w:w="1842"/>
        <w:gridCol w:w="1671"/>
        <w:gridCol w:w="1670"/>
        <w:gridCol w:w="1675"/>
      </w:tblGrid>
      <w:tr w:rsidR="007C64B4" w:rsidRPr="00282239" w:rsidTr="007C64B4">
        <w:trPr>
          <w:jc w:val="center"/>
        </w:trPr>
        <w:tc>
          <w:tcPr>
            <w:tcW w:w="9126" w:type="dxa"/>
            <w:gridSpan w:val="5"/>
          </w:tcPr>
          <w:p w:rsidR="007C64B4" w:rsidRPr="00C745E9" w:rsidRDefault="007C64B4" w:rsidP="007C64B4">
            <w:pPr>
              <w:jc w:val="center"/>
              <w:rPr>
                <w:lang w:val="en-GB"/>
              </w:rPr>
            </w:pPr>
            <w:r>
              <w:rPr>
                <w:lang w:val="en-US"/>
              </w:rPr>
              <w:t>Service facilities in Belgium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7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70" w:type="dxa"/>
          </w:tcPr>
          <w:p w:rsidR="007C64B4" w:rsidRPr="00BC0E77"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72" w:type="dxa"/>
          </w:tcPr>
          <w:p w:rsidR="007C64B4" w:rsidRPr="00BC0E77"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2" w:type="dxa"/>
          </w:tcPr>
          <w:p w:rsidR="007C64B4" w:rsidRPr="00FD4AEC" w:rsidRDefault="007C64B4" w:rsidP="007C64B4">
            <w:pPr>
              <w:jc w:val="center"/>
              <w:rPr>
                <w:sz w:val="22"/>
                <w:szCs w:val="22"/>
                <w:lang w:val="en-GB"/>
              </w:rPr>
            </w:pPr>
            <w:r w:rsidRPr="00FD4AEC">
              <w:rPr>
                <w:sz w:val="22"/>
                <w:szCs w:val="22"/>
                <w:lang w:val="en-GB"/>
              </w:rPr>
              <w:t>543</w:t>
            </w:r>
          </w:p>
        </w:tc>
        <w:tc>
          <w:tcPr>
            <w:tcW w:w="1671" w:type="dxa"/>
          </w:tcPr>
          <w:p w:rsidR="007C64B4" w:rsidRPr="00FD4AEC" w:rsidRDefault="007C64B4" w:rsidP="007C64B4">
            <w:pPr>
              <w:jc w:val="center"/>
              <w:rPr>
                <w:sz w:val="22"/>
                <w:szCs w:val="22"/>
                <w:lang w:val="en-GB"/>
              </w:rPr>
            </w:pPr>
            <w:r w:rsidRPr="00FD4AEC">
              <w:rPr>
                <w:sz w:val="22"/>
                <w:szCs w:val="22"/>
                <w:lang w:val="en-GB"/>
              </w:rPr>
              <w:t>0</w:t>
            </w:r>
          </w:p>
        </w:tc>
        <w:tc>
          <w:tcPr>
            <w:tcW w:w="1670" w:type="dxa"/>
          </w:tcPr>
          <w:p w:rsidR="007C64B4" w:rsidRPr="00FD4AEC" w:rsidRDefault="007C64B4" w:rsidP="007C64B4">
            <w:pPr>
              <w:jc w:val="center"/>
              <w:rPr>
                <w:sz w:val="22"/>
                <w:szCs w:val="22"/>
                <w:lang w:val="en-GB"/>
              </w:rPr>
            </w:pPr>
            <w:r w:rsidRPr="00FD4AEC">
              <w:rPr>
                <w:sz w:val="22"/>
                <w:szCs w:val="22"/>
                <w:lang w:val="en-GB"/>
              </w:rPr>
              <w:t>0</w:t>
            </w:r>
          </w:p>
        </w:tc>
        <w:tc>
          <w:tcPr>
            <w:tcW w:w="1672" w:type="dxa"/>
          </w:tcPr>
          <w:p w:rsidR="007C64B4" w:rsidRPr="00FD4AEC" w:rsidRDefault="007C64B4" w:rsidP="007C64B4">
            <w:pPr>
              <w:jc w:val="center"/>
              <w:rPr>
                <w:sz w:val="22"/>
                <w:szCs w:val="22"/>
                <w:lang w:val="en-GB"/>
              </w:rPr>
            </w:pPr>
            <w:r w:rsidRPr="00FD4AEC">
              <w:rPr>
                <w:sz w:val="22"/>
                <w:szCs w:val="22"/>
                <w:lang w:val="en-GB"/>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842" w:type="dxa"/>
          </w:tcPr>
          <w:p w:rsidR="007C64B4" w:rsidRPr="00FD4AEC" w:rsidRDefault="007C64B4" w:rsidP="007C64B4">
            <w:pPr>
              <w:jc w:val="center"/>
              <w:rPr>
                <w:sz w:val="22"/>
                <w:szCs w:val="22"/>
                <w:lang w:val="en-GB"/>
              </w:rPr>
            </w:pPr>
            <w:r w:rsidRPr="00FD4AEC">
              <w:rPr>
                <w:sz w:val="22"/>
                <w:szCs w:val="22"/>
              </w:rPr>
              <w:t>N/A</w:t>
            </w:r>
          </w:p>
        </w:tc>
        <w:tc>
          <w:tcPr>
            <w:tcW w:w="1671" w:type="dxa"/>
          </w:tcPr>
          <w:p w:rsidR="007C64B4" w:rsidRPr="00FD4AEC" w:rsidRDefault="007C64B4" w:rsidP="007C64B4">
            <w:pPr>
              <w:jc w:val="center"/>
              <w:rPr>
                <w:sz w:val="22"/>
                <w:szCs w:val="22"/>
                <w:lang w:val="en-GB"/>
              </w:rPr>
            </w:pPr>
            <w:r w:rsidRPr="00FD4AEC">
              <w:rPr>
                <w:sz w:val="22"/>
                <w:szCs w:val="22"/>
              </w:rPr>
              <w:t>N/A</w:t>
            </w:r>
          </w:p>
        </w:tc>
        <w:tc>
          <w:tcPr>
            <w:tcW w:w="1670" w:type="dxa"/>
          </w:tcPr>
          <w:p w:rsidR="007C64B4" w:rsidRPr="00FD4AEC" w:rsidRDefault="007C64B4" w:rsidP="007C64B4">
            <w:pPr>
              <w:jc w:val="center"/>
              <w:rPr>
                <w:sz w:val="22"/>
                <w:szCs w:val="22"/>
                <w:lang w:val="en-GB"/>
              </w:rPr>
            </w:pPr>
            <w:r w:rsidRPr="00FD4AEC">
              <w:rPr>
                <w:sz w:val="22"/>
                <w:szCs w:val="22"/>
              </w:rPr>
              <w:t>N/A</w:t>
            </w:r>
          </w:p>
        </w:tc>
        <w:tc>
          <w:tcPr>
            <w:tcW w:w="1672" w:type="dxa"/>
          </w:tcPr>
          <w:p w:rsidR="007C64B4" w:rsidRPr="00FD4AEC" w:rsidRDefault="007C64B4" w:rsidP="007C64B4">
            <w:pPr>
              <w:jc w:val="center"/>
              <w:rPr>
                <w:sz w:val="22"/>
                <w:szCs w:val="22"/>
                <w:lang w:val="en-GB"/>
              </w:rPr>
            </w:pPr>
            <w:r w:rsidRPr="00FD4AEC">
              <w:rPr>
                <w:sz w:val="22"/>
                <w:szCs w:val="22"/>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842" w:type="dxa"/>
          </w:tcPr>
          <w:p w:rsidR="007C64B4" w:rsidRPr="00FD4AEC" w:rsidRDefault="007C64B4" w:rsidP="007C64B4">
            <w:pPr>
              <w:jc w:val="center"/>
              <w:rPr>
                <w:sz w:val="22"/>
                <w:szCs w:val="22"/>
                <w:lang w:val="en-GB"/>
              </w:rPr>
            </w:pPr>
            <w:r w:rsidRPr="00FD4AEC">
              <w:rPr>
                <w:sz w:val="22"/>
                <w:szCs w:val="22"/>
                <w:lang w:val="en-GB"/>
              </w:rPr>
              <w:t>1</w:t>
            </w:r>
          </w:p>
        </w:tc>
        <w:tc>
          <w:tcPr>
            <w:tcW w:w="1671" w:type="dxa"/>
          </w:tcPr>
          <w:p w:rsidR="007C64B4" w:rsidRPr="00FD4AEC" w:rsidRDefault="007C64B4" w:rsidP="007C64B4">
            <w:pPr>
              <w:jc w:val="center"/>
              <w:rPr>
                <w:sz w:val="22"/>
                <w:szCs w:val="22"/>
                <w:lang w:val="en-GB"/>
              </w:rPr>
            </w:pPr>
            <w:r w:rsidRPr="00FD4AEC">
              <w:rPr>
                <w:sz w:val="22"/>
                <w:szCs w:val="22"/>
                <w:lang w:val="en-GB"/>
              </w:rPr>
              <w:t>0</w:t>
            </w:r>
          </w:p>
        </w:tc>
        <w:tc>
          <w:tcPr>
            <w:tcW w:w="1670" w:type="dxa"/>
          </w:tcPr>
          <w:p w:rsidR="007C64B4" w:rsidRPr="00FD4AEC" w:rsidRDefault="007C64B4" w:rsidP="007C64B4">
            <w:pPr>
              <w:jc w:val="center"/>
              <w:rPr>
                <w:sz w:val="22"/>
                <w:szCs w:val="22"/>
                <w:lang w:val="en-GB"/>
              </w:rPr>
            </w:pPr>
            <w:r w:rsidRPr="00FD4AEC">
              <w:rPr>
                <w:sz w:val="22"/>
                <w:szCs w:val="22"/>
                <w:lang w:val="en-GB"/>
              </w:rPr>
              <w:t>0</w:t>
            </w:r>
          </w:p>
        </w:tc>
        <w:tc>
          <w:tcPr>
            <w:tcW w:w="1672" w:type="dxa"/>
          </w:tcPr>
          <w:p w:rsidR="007C64B4" w:rsidRPr="00FD4AEC" w:rsidRDefault="007C64B4" w:rsidP="007C64B4">
            <w:pPr>
              <w:jc w:val="center"/>
              <w:rPr>
                <w:sz w:val="22"/>
                <w:szCs w:val="22"/>
                <w:lang w:val="en-GB"/>
              </w:rPr>
            </w:pPr>
            <w:r w:rsidRPr="00FD4AEC">
              <w:rPr>
                <w:sz w:val="22"/>
                <w:szCs w:val="22"/>
                <w:lang w:val="en-GB"/>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2" w:type="dxa"/>
          </w:tcPr>
          <w:p w:rsidR="007C64B4" w:rsidRPr="00FD4AEC" w:rsidRDefault="007C64B4" w:rsidP="007C64B4">
            <w:pPr>
              <w:jc w:val="center"/>
              <w:rPr>
                <w:sz w:val="22"/>
                <w:szCs w:val="22"/>
                <w:lang w:val="en-GB"/>
              </w:rPr>
            </w:pPr>
            <w:r w:rsidRPr="00FD4AEC">
              <w:rPr>
                <w:sz w:val="22"/>
                <w:szCs w:val="22"/>
              </w:rPr>
              <w:t>13</w:t>
            </w:r>
          </w:p>
        </w:tc>
        <w:tc>
          <w:tcPr>
            <w:tcW w:w="1671" w:type="dxa"/>
          </w:tcPr>
          <w:p w:rsidR="007C64B4" w:rsidRPr="00FD4AEC" w:rsidRDefault="007C64B4" w:rsidP="007C64B4">
            <w:pPr>
              <w:jc w:val="center"/>
              <w:rPr>
                <w:sz w:val="22"/>
                <w:szCs w:val="22"/>
                <w:lang w:val="en-GB"/>
              </w:rPr>
            </w:pPr>
            <w:r w:rsidRPr="00FD4AEC">
              <w:rPr>
                <w:sz w:val="22"/>
                <w:szCs w:val="22"/>
              </w:rPr>
              <w:t>N/A</w:t>
            </w:r>
          </w:p>
        </w:tc>
        <w:tc>
          <w:tcPr>
            <w:tcW w:w="1670" w:type="dxa"/>
          </w:tcPr>
          <w:p w:rsidR="007C64B4" w:rsidRPr="00FD4AEC" w:rsidRDefault="007C64B4" w:rsidP="007C64B4">
            <w:pPr>
              <w:jc w:val="center"/>
              <w:rPr>
                <w:sz w:val="22"/>
                <w:szCs w:val="22"/>
                <w:lang w:val="en-GB"/>
              </w:rPr>
            </w:pPr>
            <w:r w:rsidRPr="00FD4AEC">
              <w:rPr>
                <w:sz w:val="22"/>
                <w:szCs w:val="22"/>
              </w:rPr>
              <w:t>N/A</w:t>
            </w:r>
          </w:p>
        </w:tc>
        <w:tc>
          <w:tcPr>
            <w:tcW w:w="1672" w:type="dxa"/>
          </w:tcPr>
          <w:p w:rsidR="007C64B4" w:rsidRPr="00FD4AEC" w:rsidRDefault="007C64B4" w:rsidP="007C64B4">
            <w:pPr>
              <w:jc w:val="center"/>
              <w:rPr>
                <w:sz w:val="22"/>
                <w:szCs w:val="22"/>
                <w:lang w:val="en-GB"/>
              </w:rPr>
            </w:pPr>
            <w:r w:rsidRPr="00FD4AEC">
              <w:rPr>
                <w:sz w:val="22"/>
                <w:szCs w:val="22"/>
              </w:rPr>
              <w:t>3</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2" w:type="dxa"/>
          </w:tcPr>
          <w:p w:rsidR="007C64B4" w:rsidRPr="00FD4AEC" w:rsidRDefault="007C64B4" w:rsidP="007C64B4">
            <w:pPr>
              <w:jc w:val="center"/>
              <w:rPr>
                <w:sz w:val="22"/>
                <w:szCs w:val="22"/>
                <w:lang w:val="en-GB"/>
              </w:rPr>
            </w:pPr>
            <w:r w:rsidRPr="00FD4AEC">
              <w:rPr>
                <w:sz w:val="22"/>
                <w:szCs w:val="22"/>
              </w:rPr>
              <w:t>0</w:t>
            </w:r>
          </w:p>
        </w:tc>
        <w:tc>
          <w:tcPr>
            <w:tcW w:w="1671" w:type="dxa"/>
          </w:tcPr>
          <w:p w:rsidR="007C64B4" w:rsidRPr="00FD4AEC" w:rsidRDefault="007C64B4" w:rsidP="007C64B4">
            <w:pPr>
              <w:jc w:val="center"/>
              <w:rPr>
                <w:sz w:val="22"/>
                <w:szCs w:val="22"/>
                <w:lang w:val="en-GB"/>
              </w:rPr>
            </w:pPr>
            <w:r w:rsidRPr="00FD4AEC">
              <w:rPr>
                <w:sz w:val="22"/>
                <w:szCs w:val="22"/>
              </w:rPr>
              <w:t>0</w:t>
            </w:r>
          </w:p>
        </w:tc>
        <w:tc>
          <w:tcPr>
            <w:tcW w:w="1670" w:type="dxa"/>
          </w:tcPr>
          <w:p w:rsidR="007C64B4" w:rsidRPr="00FD4AEC" w:rsidRDefault="007C64B4" w:rsidP="007C64B4">
            <w:pPr>
              <w:jc w:val="center"/>
              <w:rPr>
                <w:sz w:val="22"/>
                <w:szCs w:val="22"/>
                <w:lang w:val="en-GB"/>
              </w:rPr>
            </w:pPr>
            <w:r w:rsidRPr="00FD4AEC">
              <w:rPr>
                <w:sz w:val="22"/>
                <w:szCs w:val="22"/>
              </w:rPr>
              <w:t>2</w:t>
            </w:r>
          </w:p>
        </w:tc>
        <w:tc>
          <w:tcPr>
            <w:tcW w:w="1672" w:type="dxa"/>
          </w:tcPr>
          <w:p w:rsidR="007C64B4" w:rsidRPr="00FD4AEC" w:rsidRDefault="007C64B4" w:rsidP="007C64B4">
            <w:pPr>
              <w:jc w:val="center"/>
              <w:rPr>
                <w:sz w:val="22"/>
                <w:szCs w:val="22"/>
                <w:lang w:val="en-GB"/>
              </w:rPr>
            </w:pPr>
            <w:r w:rsidRPr="00FD4AEC">
              <w:rPr>
                <w:sz w:val="22"/>
                <w:szCs w:val="22"/>
              </w:rPr>
              <w:t>0</w:t>
            </w:r>
          </w:p>
        </w:tc>
      </w:tr>
    </w:tbl>
    <w:p w:rsidR="007C64B4" w:rsidRPr="0027024B" w:rsidRDefault="00A51E8E" w:rsidP="007C64B4">
      <w:pPr>
        <w:jc w:val="center"/>
        <w:rPr>
          <w:sz w:val="20"/>
          <w:lang w:val="en-GB"/>
        </w:rPr>
      </w:pPr>
      <w:r w:rsidRPr="00A51E8E">
        <w:rPr>
          <w:sz w:val="20"/>
          <w:lang w:val="en-GB"/>
        </w:rPr>
        <w:t xml:space="preserve">Table </w:t>
      </w:r>
      <w:r w:rsidRPr="00A51E8E">
        <w:rPr>
          <w:sz w:val="20"/>
          <w:lang w:val="en-GB"/>
        </w:rPr>
        <w:fldChar w:fldCharType="begin"/>
      </w:r>
      <w:r w:rsidRPr="00A51E8E">
        <w:rPr>
          <w:sz w:val="20"/>
          <w:lang w:val="en-GB"/>
        </w:rPr>
        <w:instrText xml:space="preserve"> SEQ Table \* ARABIC </w:instrText>
      </w:r>
      <w:r w:rsidRPr="00A51E8E">
        <w:rPr>
          <w:sz w:val="20"/>
          <w:lang w:val="en-GB"/>
        </w:rPr>
        <w:fldChar w:fldCharType="separate"/>
      </w:r>
      <w:r w:rsidR="0099201F">
        <w:rPr>
          <w:noProof/>
          <w:sz w:val="20"/>
          <w:lang w:val="en-GB"/>
        </w:rPr>
        <w:t>11</w:t>
      </w:r>
      <w:r w:rsidRPr="00A51E8E">
        <w:rPr>
          <w:sz w:val="20"/>
          <w:lang w:val="en-GB"/>
        </w:rPr>
        <w:fldChar w:fldCharType="end"/>
      </w:r>
      <w:r>
        <w:rPr>
          <w:sz w:val="20"/>
          <w:lang w:val="en-GB"/>
        </w:rPr>
        <w:t xml:space="preserve">: </w:t>
      </w:r>
      <w:r w:rsidR="007C64B4" w:rsidRPr="00A96026">
        <w:rPr>
          <w:sz w:val="20"/>
          <w:lang w:val="en-GB"/>
        </w:rPr>
        <w:t xml:space="preserve">No of service facilities in </w:t>
      </w:r>
      <w:r w:rsidR="007C64B4" w:rsidRPr="00334AA3">
        <w:rPr>
          <w:sz w:val="20"/>
          <w:lang w:val="en-GB"/>
        </w:rPr>
        <w:t xml:space="preserve">Belgium according to the market monitoring survey </w:t>
      </w:r>
      <w:r w:rsidR="007C64B4" w:rsidRPr="0006175C">
        <w:rPr>
          <w:sz w:val="20"/>
          <w:lang w:val="en-GB"/>
        </w:rPr>
        <w:t>of IRG-Rail 201</w:t>
      </w:r>
      <w:r w:rsidR="007C64B4" w:rsidRPr="00EB7B3B">
        <w:rPr>
          <w:sz w:val="20"/>
          <w:lang w:val="en-GB"/>
        </w:rPr>
        <w:t>6</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27" w:name="__RefHeading__5329_1151380434"/>
      <w:bookmarkStart w:id="28" w:name="_Toc494177956"/>
      <w:bookmarkStart w:id="29" w:name="_Toc495652233"/>
      <w:bookmarkStart w:id="30" w:name="_Toc496702657"/>
      <w:bookmarkEnd w:id="27"/>
      <w:proofErr w:type="spellStart"/>
      <w:r w:rsidRPr="0046443F">
        <w:rPr>
          <w:rFonts w:ascii="Times New Roman" w:hAnsi="Times New Roman" w:cs="Times New Roman"/>
          <w:b/>
          <w:color w:val="auto"/>
          <w:sz w:val="24"/>
          <w:szCs w:val="24"/>
        </w:rPr>
        <w:t>Bulgaria</w:t>
      </w:r>
      <w:bookmarkEnd w:id="28"/>
      <w:bookmarkEnd w:id="29"/>
      <w:bookmarkEnd w:id="30"/>
      <w:proofErr w:type="spellEnd"/>
    </w:p>
    <w:tbl>
      <w:tblPr>
        <w:tblStyle w:val="Grilledutableau"/>
        <w:tblW w:w="9116" w:type="dxa"/>
        <w:jc w:val="center"/>
        <w:tblLook w:val="04A0" w:firstRow="1" w:lastRow="0" w:firstColumn="1" w:lastColumn="0" w:noHBand="0" w:noVBand="1"/>
      </w:tblPr>
      <w:tblGrid>
        <w:gridCol w:w="2268"/>
        <w:gridCol w:w="1842"/>
        <w:gridCol w:w="1671"/>
        <w:gridCol w:w="1670"/>
        <w:gridCol w:w="1657"/>
        <w:gridCol w:w="8"/>
      </w:tblGrid>
      <w:tr w:rsidR="007C64B4" w:rsidRPr="00282239" w:rsidTr="007C64B4">
        <w:trPr>
          <w:gridAfter w:val="1"/>
          <w:wAfter w:w="8" w:type="dxa"/>
          <w:jc w:val="center"/>
        </w:trPr>
        <w:tc>
          <w:tcPr>
            <w:tcW w:w="9108" w:type="dxa"/>
            <w:gridSpan w:val="5"/>
          </w:tcPr>
          <w:p w:rsidR="007C64B4" w:rsidRPr="00C745E9" w:rsidRDefault="007C64B4" w:rsidP="007C64B4">
            <w:pPr>
              <w:jc w:val="center"/>
              <w:rPr>
                <w:lang w:val="en-GB"/>
              </w:rPr>
            </w:pPr>
            <w:r>
              <w:rPr>
                <w:lang w:val="en-US"/>
              </w:rPr>
              <w:t>Service facilities in Bulgaria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7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70" w:type="dxa"/>
          </w:tcPr>
          <w:p w:rsidR="007C64B4" w:rsidRPr="00BC0E77"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65" w:type="dxa"/>
            <w:gridSpan w:val="2"/>
          </w:tcPr>
          <w:p w:rsidR="007C64B4" w:rsidRPr="00BC0E77"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2" w:type="dxa"/>
          </w:tcPr>
          <w:p w:rsidR="007C64B4" w:rsidRPr="00FD4AEC" w:rsidRDefault="007C64B4" w:rsidP="007C64B4">
            <w:pPr>
              <w:jc w:val="center"/>
              <w:rPr>
                <w:sz w:val="22"/>
                <w:szCs w:val="22"/>
                <w:lang w:val="en-GB"/>
              </w:rPr>
            </w:pPr>
            <w:r w:rsidRPr="00FD4AEC">
              <w:rPr>
                <w:sz w:val="22"/>
                <w:szCs w:val="22"/>
                <w:lang w:val="en-GB"/>
              </w:rPr>
              <w:t>0</w:t>
            </w:r>
          </w:p>
        </w:tc>
        <w:tc>
          <w:tcPr>
            <w:tcW w:w="1671" w:type="dxa"/>
          </w:tcPr>
          <w:p w:rsidR="007C64B4" w:rsidRPr="00FD4AEC" w:rsidRDefault="007C64B4" w:rsidP="007C64B4">
            <w:pPr>
              <w:jc w:val="center"/>
              <w:rPr>
                <w:sz w:val="22"/>
                <w:szCs w:val="22"/>
                <w:lang w:val="en-GB"/>
              </w:rPr>
            </w:pPr>
            <w:r w:rsidRPr="00FD4AEC">
              <w:rPr>
                <w:sz w:val="22"/>
                <w:szCs w:val="22"/>
                <w:lang w:val="en-GB"/>
              </w:rPr>
              <w:t xml:space="preserve">299 </w:t>
            </w:r>
          </w:p>
        </w:tc>
        <w:tc>
          <w:tcPr>
            <w:tcW w:w="1670" w:type="dxa"/>
          </w:tcPr>
          <w:p w:rsidR="007C64B4" w:rsidRPr="00FD4AEC" w:rsidRDefault="007C64B4" w:rsidP="007C64B4">
            <w:pPr>
              <w:jc w:val="center"/>
              <w:rPr>
                <w:sz w:val="22"/>
                <w:szCs w:val="22"/>
                <w:lang w:val="en-GB"/>
              </w:rPr>
            </w:pPr>
            <w:r w:rsidRPr="00FD4AEC">
              <w:rPr>
                <w:sz w:val="22"/>
                <w:szCs w:val="22"/>
                <w:lang w:val="en-GB"/>
              </w:rPr>
              <w:t>0</w:t>
            </w:r>
          </w:p>
        </w:tc>
        <w:tc>
          <w:tcPr>
            <w:tcW w:w="1665" w:type="dxa"/>
            <w:gridSpan w:val="2"/>
          </w:tcPr>
          <w:p w:rsidR="007C64B4" w:rsidRPr="00FD4AEC" w:rsidRDefault="007C64B4" w:rsidP="007C64B4">
            <w:pPr>
              <w:jc w:val="center"/>
              <w:rPr>
                <w:sz w:val="22"/>
                <w:szCs w:val="22"/>
                <w:lang w:val="en-GB"/>
              </w:rPr>
            </w:pPr>
            <w:r w:rsidRPr="00FD4AEC">
              <w:rPr>
                <w:sz w:val="22"/>
                <w:szCs w:val="22"/>
                <w:lang w:val="en-GB"/>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842" w:type="dxa"/>
          </w:tcPr>
          <w:p w:rsidR="007C64B4" w:rsidRPr="00FD4AEC" w:rsidRDefault="007C64B4" w:rsidP="007C64B4">
            <w:pPr>
              <w:jc w:val="center"/>
              <w:rPr>
                <w:sz w:val="22"/>
                <w:szCs w:val="22"/>
                <w:lang w:val="en-GB"/>
              </w:rPr>
            </w:pPr>
            <w:r w:rsidRPr="00FD4AEC">
              <w:rPr>
                <w:sz w:val="22"/>
                <w:szCs w:val="22"/>
              </w:rPr>
              <w:t>N/A</w:t>
            </w:r>
          </w:p>
        </w:tc>
        <w:tc>
          <w:tcPr>
            <w:tcW w:w="1671" w:type="dxa"/>
          </w:tcPr>
          <w:p w:rsidR="007C64B4" w:rsidRPr="00FD4AEC" w:rsidRDefault="007C64B4" w:rsidP="007C64B4">
            <w:pPr>
              <w:jc w:val="center"/>
              <w:rPr>
                <w:sz w:val="22"/>
                <w:szCs w:val="22"/>
                <w:lang w:val="en-GB"/>
              </w:rPr>
            </w:pPr>
            <w:r w:rsidRPr="00FD4AEC">
              <w:rPr>
                <w:sz w:val="22"/>
                <w:szCs w:val="22"/>
              </w:rPr>
              <w:t>N/A</w:t>
            </w:r>
          </w:p>
        </w:tc>
        <w:tc>
          <w:tcPr>
            <w:tcW w:w="1670" w:type="dxa"/>
          </w:tcPr>
          <w:p w:rsidR="007C64B4" w:rsidRPr="00FD4AEC" w:rsidRDefault="007C64B4" w:rsidP="007C64B4">
            <w:pPr>
              <w:jc w:val="center"/>
              <w:rPr>
                <w:sz w:val="22"/>
                <w:szCs w:val="22"/>
                <w:lang w:val="en-GB"/>
              </w:rPr>
            </w:pPr>
            <w:r w:rsidRPr="00FD4AEC">
              <w:rPr>
                <w:sz w:val="22"/>
                <w:szCs w:val="22"/>
              </w:rPr>
              <w:t>N/A</w:t>
            </w:r>
          </w:p>
        </w:tc>
        <w:tc>
          <w:tcPr>
            <w:tcW w:w="1665" w:type="dxa"/>
            <w:gridSpan w:val="2"/>
          </w:tcPr>
          <w:p w:rsidR="007C64B4" w:rsidRPr="00FD4AEC" w:rsidRDefault="007C64B4" w:rsidP="007C64B4">
            <w:pPr>
              <w:jc w:val="center"/>
              <w:rPr>
                <w:sz w:val="22"/>
                <w:szCs w:val="22"/>
                <w:lang w:val="en-GB"/>
              </w:rPr>
            </w:pPr>
            <w:r w:rsidRPr="00FD4AEC">
              <w:rPr>
                <w:sz w:val="22"/>
                <w:szCs w:val="22"/>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842" w:type="dxa"/>
          </w:tcPr>
          <w:p w:rsidR="007C64B4" w:rsidRPr="00FD4AEC" w:rsidRDefault="007C64B4" w:rsidP="007C64B4">
            <w:pPr>
              <w:jc w:val="center"/>
              <w:rPr>
                <w:sz w:val="22"/>
                <w:szCs w:val="22"/>
                <w:lang w:val="en-GB"/>
              </w:rPr>
            </w:pPr>
            <w:r w:rsidRPr="00FD4AEC">
              <w:rPr>
                <w:sz w:val="22"/>
                <w:szCs w:val="22"/>
                <w:lang w:val="en-GB"/>
              </w:rPr>
              <w:t xml:space="preserve"> N/A</w:t>
            </w:r>
          </w:p>
        </w:tc>
        <w:tc>
          <w:tcPr>
            <w:tcW w:w="1671" w:type="dxa"/>
          </w:tcPr>
          <w:p w:rsidR="007C64B4" w:rsidRPr="00FD4AEC" w:rsidRDefault="007C64B4" w:rsidP="007C64B4">
            <w:pPr>
              <w:jc w:val="center"/>
              <w:rPr>
                <w:sz w:val="22"/>
                <w:szCs w:val="22"/>
                <w:lang w:val="en-GB"/>
              </w:rPr>
            </w:pPr>
            <w:r w:rsidRPr="00FD4AEC">
              <w:rPr>
                <w:sz w:val="22"/>
                <w:szCs w:val="22"/>
              </w:rPr>
              <w:t xml:space="preserve"> 4</w:t>
            </w:r>
          </w:p>
        </w:tc>
        <w:tc>
          <w:tcPr>
            <w:tcW w:w="1670" w:type="dxa"/>
          </w:tcPr>
          <w:p w:rsidR="007C64B4" w:rsidRPr="00FD4AEC" w:rsidRDefault="007C64B4" w:rsidP="007C64B4">
            <w:pPr>
              <w:jc w:val="center"/>
              <w:rPr>
                <w:sz w:val="22"/>
                <w:szCs w:val="22"/>
                <w:lang w:val="en-GB"/>
              </w:rPr>
            </w:pPr>
            <w:r w:rsidRPr="00FD4AEC">
              <w:rPr>
                <w:sz w:val="22"/>
                <w:szCs w:val="22"/>
              </w:rPr>
              <w:t>N/A</w:t>
            </w:r>
          </w:p>
        </w:tc>
        <w:tc>
          <w:tcPr>
            <w:tcW w:w="1665" w:type="dxa"/>
            <w:gridSpan w:val="2"/>
          </w:tcPr>
          <w:p w:rsidR="007C64B4" w:rsidRPr="00FD4AEC" w:rsidRDefault="007C64B4" w:rsidP="007C64B4">
            <w:pPr>
              <w:jc w:val="center"/>
              <w:rPr>
                <w:sz w:val="22"/>
                <w:szCs w:val="22"/>
                <w:lang w:val="en-GB"/>
              </w:rPr>
            </w:pPr>
            <w:r w:rsidRPr="00FD4AEC">
              <w:rPr>
                <w:sz w:val="22"/>
                <w:szCs w:val="22"/>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2" w:type="dxa"/>
          </w:tcPr>
          <w:p w:rsidR="007C64B4" w:rsidRPr="00FD4AEC" w:rsidRDefault="007C64B4" w:rsidP="007C64B4">
            <w:pPr>
              <w:tabs>
                <w:tab w:val="center" w:pos="714"/>
                <w:tab w:val="left" w:pos="1387"/>
              </w:tabs>
              <w:jc w:val="center"/>
              <w:rPr>
                <w:sz w:val="22"/>
                <w:szCs w:val="22"/>
                <w:lang w:val="en-GB"/>
              </w:rPr>
            </w:pPr>
            <w:r w:rsidRPr="00FD4AEC">
              <w:rPr>
                <w:sz w:val="22"/>
                <w:szCs w:val="22"/>
              </w:rPr>
              <w:t>N/A</w:t>
            </w:r>
          </w:p>
        </w:tc>
        <w:tc>
          <w:tcPr>
            <w:tcW w:w="1671" w:type="dxa"/>
          </w:tcPr>
          <w:p w:rsidR="007C64B4" w:rsidRPr="00FD4AEC" w:rsidRDefault="007C64B4" w:rsidP="007C64B4">
            <w:pPr>
              <w:jc w:val="center"/>
              <w:rPr>
                <w:sz w:val="22"/>
                <w:szCs w:val="22"/>
                <w:lang w:val="en-GB"/>
              </w:rPr>
            </w:pPr>
            <w:r w:rsidRPr="00FD4AEC">
              <w:rPr>
                <w:sz w:val="22"/>
                <w:szCs w:val="22"/>
              </w:rPr>
              <w:t>N/A</w:t>
            </w:r>
          </w:p>
        </w:tc>
        <w:tc>
          <w:tcPr>
            <w:tcW w:w="1670" w:type="dxa"/>
          </w:tcPr>
          <w:p w:rsidR="007C64B4" w:rsidRPr="00FD4AEC" w:rsidRDefault="007C64B4" w:rsidP="007C64B4">
            <w:pPr>
              <w:jc w:val="center"/>
              <w:rPr>
                <w:sz w:val="22"/>
                <w:szCs w:val="22"/>
                <w:lang w:val="en-GB"/>
              </w:rPr>
            </w:pPr>
            <w:r w:rsidRPr="00FD4AEC">
              <w:rPr>
                <w:sz w:val="22"/>
                <w:szCs w:val="22"/>
              </w:rPr>
              <w:t>N/A</w:t>
            </w:r>
          </w:p>
        </w:tc>
        <w:tc>
          <w:tcPr>
            <w:tcW w:w="1665" w:type="dxa"/>
            <w:gridSpan w:val="2"/>
          </w:tcPr>
          <w:p w:rsidR="007C64B4" w:rsidRPr="00FD4AEC" w:rsidRDefault="007C64B4" w:rsidP="007C64B4">
            <w:pPr>
              <w:jc w:val="center"/>
              <w:rPr>
                <w:sz w:val="22"/>
                <w:szCs w:val="22"/>
                <w:lang w:val="en-GB"/>
              </w:rPr>
            </w:pPr>
            <w:r w:rsidRPr="00FD4AEC">
              <w:rPr>
                <w:sz w:val="22"/>
                <w:szCs w:val="22"/>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2" w:type="dxa"/>
          </w:tcPr>
          <w:p w:rsidR="007C64B4" w:rsidRPr="00FD4AEC" w:rsidRDefault="007C64B4" w:rsidP="007C64B4">
            <w:pPr>
              <w:jc w:val="center"/>
              <w:rPr>
                <w:sz w:val="22"/>
                <w:szCs w:val="22"/>
                <w:lang w:val="en-GB"/>
              </w:rPr>
            </w:pPr>
            <w:r w:rsidRPr="00FD4AEC">
              <w:rPr>
                <w:sz w:val="22"/>
                <w:szCs w:val="22"/>
              </w:rPr>
              <w:t>N/A</w:t>
            </w:r>
          </w:p>
        </w:tc>
        <w:tc>
          <w:tcPr>
            <w:tcW w:w="1671" w:type="dxa"/>
          </w:tcPr>
          <w:p w:rsidR="007C64B4" w:rsidRPr="00FD4AEC" w:rsidRDefault="007C64B4" w:rsidP="007C64B4">
            <w:pPr>
              <w:jc w:val="center"/>
              <w:rPr>
                <w:sz w:val="22"/>
                <w:szCs w:val="22"/>
                <w:lang w:val="en-GB"/>
              </w:rPr>
            </w:pPr>
            <w:r w:rsidRPr="00FD4AEC">
              <w:rPr>
                <w:sz w:val="22"/>
                <w:szCs w:val="22"/>
              </w:rPr>
              <w:t>N/A</w:t>
            </w:r>
          </w:p>
        </w:tc>
        <w:tc>
          <w:tcPr>
            <w:tcW w:w="1670" w:type="dxa"/>
          </w:tcPr>
          <w:p w:rsidR="007C64B4" w:rsidRPr="00FD4AEC" w:rsidRDefault="007C64B4" w:rsidP="007C64B4">
            <w:pPr>
              <w:jc w:val="center"/>
              <w:rPr>
                <w:sz w:val="22"/>
                <w:szCs w:val="22"/>
                <w:lang w:val="en-GB"/>
              </w:rPr>
            </w:pPr>
            <w:r w:rsidRPr="00FD4AEC">
              <w:rPr>
                <w:sz w:val="22"/>
                <w:szCs w:val="22"/>
              </w:rPr>
              <w:t>N/A</w:t>
            </w:r>
          </w:p>
        </w:tc>
        <w:tc>
          <w:tcPr>
            <w:tcW w:w="1665" w:type="dxa"/>
            <w:gridSpan w:val="2"/>
          </w:tcPr>
          <w:p w:rsidR="007C64B4" w:rsidRPr="00FD4AEC" w:rsidRDefault="007C64B4" w:rsidP="007C64B4">
            <w:pPr>
              <w:jc w:val="center"/>
              <w:rPr>
                <w:sz w:val="22"/>
                <w:szCs w:val="22"/>
                <w:lang w:val="en-GB"/>
              </w:rPr>
            </w:pPr>
            <w:r w:rsidRPr="00FD4AEC">
              <w:rPr>
                <w:sz w:val="22"/>
                <w:szCs w:val="22"/>
              </w:rPr>
              <w:t>N/A</w:t>
            </w:r>
          </w:p>
        </w:tc>
      </w:tr>
    </w:tbl>
    <w:p w:rsidR="007C64B4" w:rsidRPr="00BC0E77" w:rsidRDefault="00A51E8E" w:rsidP="007C64B4">
      <w:pPr>
        <w:jc w:val="center"/>
        <w:rPr>
          <w:sz w:val="20"/>
          <w:lang w:val="en-GB"/>
        </w:rPr>
      </w:pPr>
      <w:r w:rsidRPr="00A51E8E">
        <w:rPr>
          <w:sz w:val="20"/>
          <w:lang w:val="en-GB"/>
        </w:rPr>
        <w:t xml:space="preserve">Table </w:t>
      </w:r>
      <w:r w:rsidRPr="00A51E8E">
        <w:rPr>
          <w:sz w:val="20"/>
          <w:lang w:val="en-GB"/>
        </w:rPr>
        <w:fldChar w:fldCharType="begin"/>
      </w:r>
      <w:r w:rsidRPr="00A51E8E">
        <w:rPr>
          <w:sz w:val="20"/>
          <w:lang w:val="en-GB"/>
        </w:rPr>
        <w:instrText xml:space="preserve"> SEQ Table \* ARABIC </w:instrText>
      </w:r>
      <w:r w:rsidRPr="00A51E8E">
        <w:rPr>
          <w:sz w:val="20"/>
          <w:lang w:val="en-GB"/>
        </w:rPr>
        <w:fldChar w:fldCharType="separate"/>
      </w:r>
      <w:r w:rsidR="0099201F">
        <w:rPr>
          <w:noProof/>
          <w:sz w:val="20"/>
          <w:lang w:val="en-GB"/>
        </w:rPr>
        <w:t>12</w:t>
      </w:r>
      <w:r w:rsidRPr="00A51E8E">
        <w:rPr>
          <w:sz w:val="20"/>
          <w:lang w:val="en-GB"/>
        </w:rPr>
        <w:fldChar w:fldCharType="end"/>
      </w:r>
      <w:r>
        <w:rPr>
          <w:sz w:val="20"/>
          <w:lang w:val="en-GB"/>
        </w:rPr>
        <w:t xml:space="preserve">: </w:t>
      </w:r>
      <w:r w:rsidR="007C64B4" w:rsidRPr="00BC0E77">
        <w:rPr>
          <w:sz w:val="20"/>
          <w:lang w:val="en-GB"/>
        </w:rPr>
        <w:t>No of service facilities in Bulgaria according to the market monitoring survey of IRG-Rail 2016</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31" w:name="__RefHeading__5331_1151380434"/>
      <w:bookmarkStart w:id="32" w:name="_Toc494177957"/>
      <w:bookmarkStart w:id="33" w:name="_Toc495652234"/>
      <w:bookmarkStart w:id="34" w:name="_Toc496702658"/>
      <w:bookmarkEnd w:id="31"/>
      <w:proofErr w:type="spellStart"/>
      <w:r w:rsidRPr="0046443F">
        <w:rPr>
          <w:rFonts w:ascii="Times New Roman" w:hAnsi="Times New Roman" w:cs="Times New Roman"/>
          <w:b/>
          <w:color w:val="auto"/>
          <w:sz w:val="24"/>
          <w:szCs w:val="24"/>
        </w:rPr>
        <w:t>Croatia</w:t>
      </w:r>
      <w:bookmarkEnd w:id="32"/>
      <w:bookmarkEnd w:id="33"/>
      <w:bookmarkEnd w:id="34"/>
      <w:proofErr w:type="spellEnd"/>
    </w:p>
    <w:tbl>
      <w:tblPr>
        <w:tblStyle w:val="Grilledutableau"/>
        <w:tblW w:w="9106" w:type="dxa"/>
        <w:jc w:val="center"/>
        <w:tblLook w:val="04A0" w:firstRow="1" w:lastRow="0" w:firstColumn="1" w:lastColumn="0" w:noHBand="0" w:noVBand="1"/>
      </w:tblPr>
      <w:tblGrid>
        <w:gridCol w:w="2268"/>
        <w:gridCol w:w="1842"/>
        <w:gridCol w:w="1671"/>
        <w:gridCol w:w="1670"/>
        <w:gridCol w:w="1655"/>
      </w:tblGrid>
      <w:tr w:rsidR="007C64B4" w:rsidRPr="00282239" w:rsidTr="007C64B4">
        <w:trPr>
          <w:jc w:val="center"/>
        </w:trPr>
        <w:tc>
          <w:tcPr>
            <w:tcW w:w="9103" w:type="dxa"/>
            <w:gridSpan w:val="5"/>
          </w:tcPr>
          <w:p w:rsidR="007C64B4" w:rsidRPr="00C745E9" w:rsidRDefault="007C64B4" w:rsidP="007C64B4">
            <w:pPr>
              <w:jc w:val="center"/>
              <w:rPr>
                <w:lang w:val="en-GB"/>
              </w:rPr>
            </w:pPr>
            <w:r>
              <w:rPr>
                <w:lang w:val="en-US"/>
              </w:rPr>
              <w:t>Service facilities in Croatia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7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70" w:type="dxa"/>
          </w:tcPr>
          <w:p w:rsidR="007C64B4" w:rsidRPr="00BC0E77"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55" w:type="dxa"/>
          </w:tcPr>
          <w:p w:rsidR="007C64B4" w:rsidRPr="00BC0E77"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2" w:type="dxa"/>
          </w:tcPr>
          <w:p w:rsidR="007C64B4" w:rsidRPr="00FD4AEC" w:rsidRDefault="002D24CC" w:rsidP="007C64B4">
            <w:pPr>
              <w:jc w:val="center"/>
              <w:rPr>
                <w:sz w:val="22"/>
                <w:szCs w:val="22"/>
                <w:lang w:val="en-GB"/>
              </w:rPr>
            </w:pPr>
            <w:r>
              <w:rPr>
                <w:sz w:val="22"/>
                <w:szCs w:val="22"/>
                <w:lang w:val="en-GB"/>
              </w:rPr>
              <w:t>0</w:t>
            </w:r>
          </w:p>
        </w:tc>
        <w:tc>
          <w:tcPr>
            <w:tcW w:w="1671" w:type="dxa"/>
          </w:tcPr>
          <w:p w:rsidR="007C64B4" w:rsidRPr="00FD4AEC" w:rsidRDefault="002D24CC" w:rsidP="007C64B4">
            <w:pPr>
              <w:jc w:val="center"/>
              <w:rPr>
                <w:sz w:val="22"/>
                <w:szCs w:val="22"/>
                <w:lang w:val="en-GB"/>
              </w:rPr>
            </w:pPr>
            <w:r>
              <w:rPr>
                <w:sz w:val="22"/>
                <w:szCs w:val="22"/>
                <w:lang w:val="en-GB"/>
              </w:rPr>
              <w:t>504</w:t>
            </w:r>
          </w:p>
        </w:tc>
        <w:tc>
          <w:tcPr>
            <w:tcW w:w="1670" w:type="dxa"/>
          </w:tcPr>
          <w:p w:rsidR="007C64B4" w:rsidRPr="00FD4AEC" w:rsidRDefault="007C64B4" w:rsidP="007C64B4">
            <w:pPr>
              <w:jc w:val="center"/>
              <w:rPr>
                <w:sz w:val="22"/>
                <w:szCs w:val="22"/>
                <w:lang w:val="en-GB"/>
              </w:rPr>
            </w:pPr>
            <w:r w:rsidRPr="00FD4AEC">
              <w:rPr>
                <w:sz w:val="22"/>
                <w:szCs w:val="22"/>
                <w:lang w:val="en-GB"/>
              </w:rPr>
              <w:t>0</w:t>
            </w:r>
          </w:p>
        </w:tc>
        <w:tc>
          <w:tcPr>
            <w:tcW w:w="1655" w:type="dxa"/>
          </w:tcPr>
          <w:p w:rsidR="007C64B4" w:rsidRPr="00FD4AEC" w:rsidRDefault="007C64B4" w:rsidP="007C64B4">
            <w:pPr>
              <w:jc w:val="center"/>
              <w:rPr>
                <w:sz w:val="22"/>
                <w:szCs w:val="22"/>
                <w:lang w:val="en-GB"/>
              </w:rPr>
            </w:pPr>
            <w:r w:rsidRPr="00FD4AEC">
              <w:rPr>
                <w:sz w:val="22"/>
                <w:szCs w:val="22"/>
                <w:lang w:val="en-GB"/>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842" w:type="dxa"/>
          </w:tcPr>
          <w:p w:rsidR="007C64B4" w:rsidRPr="00FD4AEC" w:rsidRDefault="007C64B4" w:rsidP="007C64B4">
            <w:pPr>
              <w:jc w:val="center"/>
              <w:rPr>
                <w:sz w:val="22"/>
                <w:szCs w:val="22"/>
                <w:lang w:val="en-GB"/>
              </w:rPr>
            </w:pPr>
            <w:r w:rsidRPr="00FD4AEC">
              <w:rPr>
                <w:sz w:val="22"/>
                <w:szCs w:val="22"/>
              </w:rPr>
              <w:t>1</w:t>
            </w:r>
          </w:p>
        </w:tc>
        <w:tc>
          <w:tcPr>
            <w:tcW w:w="1671" w:type="dxa"/>
          </w:tcPr>
          <w:p w:rsidR="007C64B4" w:rsidRPr="00FD4AEC" w:rsidRDefault="002D24CC" w:rsidP="007C64B4">
            <w:pPr>
              <w:jc w:val="center"/>
              <w:rPr>
                <w:sz w:val="22"/>
                <w:szCs w:val="22"/>
                <w:lang w:val="en-GB"/>
              </w:rPr>
            </w:pPr>
            <w:r>
              <w:rPr>
                <w:sz w:val="22"/>
                <w:szCs w:val="22"/>
              </w:rPr>
              <w:t>0</w:t>
            </w:r>
          </w:p>
        </w:tc>
        <w:tc>
          <w:tcPr>
            <w:tcW w:w="1670" w:type="dxa"/>
          </w:tcPr>
          <w:p w:rsidR="007C64B4" w:rsidRPr="00FD4AEC" w:rsidRDefault="002D24CC" w:rsidP="007C64B4">
            <w:pPr>
              <w:jc w:val="center"/>
              <w:rPr>
                <w:sz w:val="22"/>
                <w:szCs w:val="22"/>
                <w:lang w:val="en-GB"/>
              </w:rPr>
            </w:pPr>
            <w:r>
              <w:rPr>
                <w:sz w:val="22"/>
                <w:szCs w:val="22"/>
              </w:rPr>
              <w:t>0</w:t>
            </w:r>
          </w:p>
        </w:tc>
        <w:tc>
          <w:tcPr>
            <w:tcW w:w="1655" w:type="dxa"/>
          </w:tcPr>
          <w:p w:rsidR="007C64B4" w:rsidRPr="00FD4AEC" w:rsidRDefault="002D24CC" w:rsidP="007C64B4">
            <w:pPr>
              <w:jc w:val="center"/>
              <w:rPr>
                <w:sz w:val="22"/>
                <w:szCs w:val="22"/>
                <w:lang w:val="en-GB"/>
              </w:rPr>
            </w:pPr>
            <w:r>
              <w:rPr>
                <w:sz w:val="22"/>
                <w:szCs w:val="22"/>
              </w:rPr>
              <w:t>4</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842" w:type="dxa"/>
          </w:tcPr>
          <w:p w:rsidR="007C64B4" w:rsidRPr="00FD4AEC" w:rsidRDefault="002D24CC" w:rsidP="007C64B4">
            <w:pPr>
              <w:jc w:val="center"/>
              <w:rPr>
                <w:sz w:val="22"/>
                <w:szCs w:val="22"/>
                <w:lang w:val="en-GB"/>
              </w:rPr>
            </w:pPr>
            <w:r>
              <w:rPr>
                <w:sz w:val="22"/>
                <w:szCs w:val="22"/>
                <w:lang w:val="en-GB"/>
              </w:rPr>
              <w:t>0</w:t>
            </w:r>
          </w:p>
        </w:tc>
        <w:tc>
          <w:tcPr>
            <w:tcW w:w="1671" w:type="dxa"/>
          </w:tcPr>
          <w:p w:rsidR="007C64B4" w:rsidRPr="00FD4AEC" w:rsidRDefault="002D24CC" w:rsidP="007C64B4">
            <w:pPr>
              <w:jc w:val="center"/>
              <w:rPr>
                <w:sz w:val="22"/>
                <w:szCs w:val="22"/>
                <w:lang w:val="en-GB"/>
              </w:rPr>
            </w:pPr>
            <w:r>
              <w:rPr>
                <w:sz w:val="22"/>
                <w:szCs w:val="22"/>
              </w:rPr>
              <w:t>1</w:t>
            </w:r>
          </w:p>
        </w:tc>
        <w:tc>
          <w:tcPr>
            <w:tcW w:w="1670" w:type="dxa"/>
          </w:tcPr>
          <w:p w:rsidR="007C64B4" w:rsidRPr="00FD4AEC" w:rsidRDefault="002D24CC" w:rsidP="007C64B4">
            <w:pPr>
              <w:jc w:val="center"/>
              <w:rPr>
                <w:sz w:val="22"/>
                <w:szCs w:val="22"/>
                <w:lang w:val="en-GB"/>
              </w:rPr>
            </w:pPr>
            <w:r>
              <w:rPr>
                <w:sz w:val="22"/>
                <w:szCs w:val="22"/>
              </w:rPr>
              <w:t>0</w:t>
            </w:r>
          </w:p>
        </w:tc>
        <w:tc>
          <w:tcPr>
            <w:tcW w:w="1655" w:type="dxa"/>
          </w:tcPr>
          <w:p w:rsidR="007C64B4" w:rsidRPr="00FD4AEC" w:rsidRDefault="002D24CC" w:rsidP="007C64B4">
            <w:pPr>
              <w:jc w:val="center"/>
              <w:rPr>
                <w:sz w:val="22"/>
                <w:szCs w:val="22"/>
                <w:lang w:val="en-GB"/>
              </w:rPr>
            </w:pPr>
            <w:r>
              <w:rPr>
                <w:sz w:val="22"/>
                <w:szCs w:val="22"/>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2" w:type="dxa"/>
          </w:tcPr>
          <w:p w:rsidR="007C64B4" w:rsidRPr="00FD4AEC" w:rsidRDefault="002D24CC" w:rsidP="007C64B4">
            <w:pPr>
              <w:tabs>
                <w:tab w:val="center" w:pos="714"/>
                <w:tab w:val="left" w:pos="1387"/>
              </w:tabs>
              <w:jc w:val="center"/>
              <w:rPr>
                <w:sz w:val="22"/>
                <w:szCs w:val="22"/>
                <w:lang w:val="en-GB"/>
              </w:rPr>
            </w:pPr>
            <w:r>
              <w:rPr>
                <w:sz w:val="22"/>
                <w:szCs w:val="22"/>
              </w:rPr>
              <w:t>5</w:t>
            </w:r>
          </w:p>
        </w:tc>
        <w:tc>
          <w:tcPr>
            <w:tcW w:w="1671" w:type="dxa"/>
          </w:tcPr>
          <w:p w:rsidR="007C64B4" w:rsidRPr="00FD4AEC" w:rsidRDefault="002D24CC" w:rsidP="007C64B4">
            <w:pPr>
              <w:jc w:val="center"/>
              <w:rPr>
                <w:sz w:val="22"/>
                <w:szCs w:val="22"/>
                <w:lang w:val="en-GB"/>
              </w:rPr>
            </w:pPr>
            <w:r>
              <w:rPr>
                <w:sz w:val="22"/>
                <w:szCs w:val="22"/>
              </w:rPr>
              <w:t>0</w:t>
            </w:r>
          </w:p>
        </w:tc>
        <w:tc>
          <w:tcPr>
            <w:tcW w:w="1670" w:type="dxa"/>
          </w:tcPr>
          <w:p w:rsidR="007C64B4" w:rsidRPr="00FD4AEC" w:rsidRDefault="002D24CC" w:rsidP="007C64B4">
            <w:pPr>
              <w:jc w:val="center"/>
              <w:rPr>
                <w:sz w:val="22"/>
                <w:szCs w:val="22"/>
                <w:lang w:val="en-GB"/>
              </w:rPr>
            </w:pPr>
            <w:r>
              <w:rPr>
                <w:sz w:val="22"/>
                <w:szCs w:val="22"/>
              </w:rPr>
              <w:t>0</w:t>
            </w:r>
          </w:p>
        </w:tc>
        <w:tc>
          <w:tcPr>
            <w:tcW w:w="1655" w:type="dxa"/>
          </w:tcPr>
          <w:p w:rsidR="007C64B4" w:rsidRPr="00FD4AEC" w:rsidRDefault="007C64B4" w:rsidP="007C64B4">
            <w:pPr>
              <w:jc w:val="center"/>
              <w:rPr>
                <w:sz w:val="22"/>
                <w:szCs w:val="22"/>
                <w:lang w:val="en-GB"/>
              </w:rPr>
            </w:pPr>
            <w:r w:rsidRPr="00FD4AEC">
              <w:rPr>
                <w:sz w:val="22"/>
                <w:szCs w:val="22"/>
              </w:rPr>
              <w:t>2</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2" w:type="dxa"/>
          </w:tcPr>
          <w:p w:rsidR="007C64B4" w:rsidRPr="00FD4AEC" w:rsidRDefault="002D24CC" w:rsidP="007C64B4">
            <w:pPr>
              <w:jc w:val="center"/>
              <w:rPr>
                <w:sz w:val="22"/>
                <w:szCs w:val="22"/>
                <w:lang w:val="en-GB"/>
              </w:rPr>
            </w:pPr>
            <w:r>
              <w:rPr>
                <w:sz w:val="22"/>
                <w:szCs w:val="22"/>
              </w:rPr>
              <w:t>20</w:t>
            </w:r>
          </w:p>
        </w:tc>
        <w:tc>
          <w:tcPr>
            <w:tcW w:w="1671" w:type="dxa"/>
          </w:tcPr>
          <w:p w:rsidR="007C64B4" w:rsidRPr="00FD4AEC" w:rsidRDefault="002D24CC" w:rsidP="007C64B4">
            <w:pPr>
              <w:jc w:val="center"/>
              <w:rPr>
                <w:sz w:val="22"/>
                <w:szCs w:val="22"/>
                <w:lang w:val="en-GB"/>
              </w:rPr>
            </w:pPr>
            <w:r>
              <w:rPr>
                <w:sz w:val="22"/>
                <w:szCs w:val="22"/>
              </w:rPr>
              <w:t>0</w:t>
            </w:r>
          </w:p>
        </w:tc>
        <w:tc>
          <w:tcPr>
            <w:tcW w:w="1670" w:type="dxa"/>
          </w:tcPr>
          <w:p w:rsidR="007C64B4" w:rsidRPr="00FD4AEC" w:rsidRDefault="002D24CC" w:rsidP="007C64B4">
            <w:pPr>
              <w:jc w:val="center"/>
              <w:rPr>
                <w:sz w:val="22"/>
                <w:szCs w:val="22"/>
                <w:lang w:val="en-GB"/>
              </w:rPr>
            </w:pPr>
            <w:r>
              <w:rPr>
                <w:sz w:val="22"/>
                <w:szCs w:val="22"/>
              </w:rPr>
              <w:t>0</w:t>
            </w:r>
          </w:p>
        </w:tc>
        <w:tc>
          <w:tcPr>
            <w:tcW w:w="1655" w:type="dxa"/>
          </w:tcPr>
          <w:p w:rsidR="007C64B4" w:rsidRPr="00FD4AEC" w:rsidRDefault="002D24CC" w:rsidP="007C64B4">
            <w:pPr>
              <w:jc w:val="center"/>
              <w:rPr>
                <w:sz w:val="22"/>
                <w:szCs w:val="22"/>
                <w:lang w:val="en-GB"/>
              </w:rPr>
            </w:pPr>
            <w:r>
              <w:rPr>
                <w:sz w:val="22"/>
                <w:szCs w:val="22"/>
              </w:rPr>
              <w:t>0</w:t>
            </w:r>
          </w:p>
        </w:tc>
      </w:tr>
    </w:tbl>
    <w:p w:rsidR="007C64B4" w:rsidRPr="00BC0E77" w:rsidRDefault="00A51E8E" w:rsidP="00A51E8E">
      <w:pPr>
        <w:jc w:val="center"/>
        <w:rPr>
          <w:sz w:val="20"/>
          <w:lang w:val="en-GB"/>
        </w:rPr>
      </w:pPr>
      <w:r w:rsidRPr="00A51E8E">
        <w:rPr>
          <w:sz w:val="20"/>
          <w:lang w:val="en-GB"/>
        </w:rPr>
        <w:t xml:space="preserve">Table </w:t>
      </w:r>
      <w:r w:rsidRPr="00A51E8E">
        <w:rPr>
          <w:sz w:val="20"/>
          <w:lang w:val="en-GB"/>
        </w:rPr>
        <w:fldChar w:fldCharType="begin"/>
      </w:r>
      <w:r w:rsidRPr="00A51E8E">
        <w:rPr>
          <w:sz w:val="20"/>
          <w:lang w:val="en-GB"/>
        </w:rPr>
        <w:instrText xml:space="preserve"> SEQ Table \* ARABIC </w:instrText>
      </w:r>
      <w:r w:rsidRPr="00A51E8E">
        <w:rPr>
          <w:sz w:val="20"/>
          <w:lang w:val="en-GB"/>
        </w:rPr>
        <w:fldChar w:fldCharType="separate"/>
      </w:r>
      <w:r w:rsidR="0099201F">
        <w:rPr>
          <w:noProof/>
          <w:sz w:val="20"/>
          <w:lang w:val="en-GB"/>
        </w:rPr>
        <w:t>13</w:t>
      </w:r>
      <w:r w:rsidRPr="00A51E8E">
        <w:rPr>
          <w:sz w:val="20"/>
          <w:lang w:val="en-GB"/>
        </w:rPr>
        <w:fldChar w:fldCharType="end"/>
      </w:r>
      <w:r>
        <w:rPr>
          <w:sz w:val="20"/>
          <w:lang w:val="en-GB"/>
        </w:rPr>
        <w:t>:</w:t>
      </w:r>
      <w:r w:rsidR="007C64B4" w:rsidRPr="00BC0E77">
        <w:rPr>
          <w:sz w:val="20"/>
          <w:lang w:val="en-GB"/>
        </w:rPr>
        <w:t xml:space="preserve"> No of service facilities in Croatia according to the market monitoring survey of IRG-Rail 2016</w:t>
      </w:r>
    </w:p>
    <w:p w:rsidR="007C64B4" w:rsidRPr="00B92FA1" w:rsidRDefault="007C64B4" w:rsidP="007C64B4">
      <w:pPr>
        <w:rPr>
          <w:sz w:val="22"/>
          <w:szCs w:val="22"/>
          <w:lang w:val="en-GB" w:eastAsia="en-US"/>
        </w:rPr>
      </w:pPr>
    </w:p>
    <w:p w:rsidR="007C64B4" w:rsidRDefault="007C64B4" w:rsidP="007C64B4">
      <w:pPr>
        <w:rPr>
          <w:sz w:val="22"/>
          <w:szCs w:val="22"/>
          <w:lang w:val="en-GB" w:eastAsia="en-US"/>
        </w:rPr>
      </w:pPr>
      <w:r w:rsidRPr="00DE3E51">
        <w:rPr>
          <w:lang w:val="en-US"/>
        </w:rPr>
        <w:br w:type="page"/>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35" w:name="__RefHeading__5333_1151380434"/>
      <w:bookmarkStart w:id="36" w:name="_Toc494177958"/>
      <w:bookmarkStart w:id="37" w:name="_Toc495652235"/>
      <w:bookmarkStart w:id="38" w:name="_Toc496702659"/>
      <w:bookmarkEnd w:id="35"/>
      <w:proofErr w:type="spellStart"/>
      <w:r w:rsidRPr="0046443F">
        <w:rPr>
          <w:rFonts w:ascii="Times New Roman" w:hAnsi="Times New Roman" w:cs="Times New Roman"/>
          <w:b/>
          <w:color w:val="auto"/>
          <w:sz w:val="24"/>
          <w:szCs w:val="24"/>
        </w:rPr>
        <w:lastRenderedPageBreak/>
        <w:t>Finland</w:t>
      </w:r>
      <w:bookmarkEnd w:id="36"/>
      <w:bookmarkEnd w:id="37"/>
      <w:bookmarkEnd w:id="38"/>
      <w:proofErr w:type="spellEnd"/>
    </w:p>
    <w:tbl>
      <w:tblPr>
        <w:tblStyle w:val="Grilledutableau"/>
        <w:tblW w:w="9124" w:type="dxa"/>
        <w:jc w:val="center"/>
        <w:tblLook w:val="04A0" w:firstRow="1" w:lastRow="0" w:firstColumn="1" w:lastColumn="0" w:noHBand="0" w:noVBand="1"/>
      </w:tblPr>
      <w:tblGrid>
        <w:gridCol w:w="2268"/>
        <w:gridCol w:w="1842"/>
        <w:gridCol w:w="1671"/>
        <w:gridCol w:w="1670"/>
        <w:gridCol w:w="1673"/>
      </w:tblGrid>
      <w:tr w:rsidR="007C64B4" w:rsidRPr="00282239" w:rsidTr="007C64B4">
        <w:trPr>
          <w:jc w:val="center"/>
        </w:trPr>
        <w:tc>
          <w:tcPr>
            <w:tcW w:w="9124" w:type="dxa"/>
            <w:gridSpan w:val="5"/>
          </w:tcPr>
          <w:p w:rsidR="007C64B4" w:rsidRPr="00C745E9" w:rsidRDefault="007C64B4" w:rsidP="007C64B4">
            <w:pPr>
              <w:jc w:val="center"/>
              <w:rPr>
                <w:lang w:val="en-GB"/>
              </w:rPr>
            </w:pPr>
            <w:r>
              <w:rPr>
                <w:lang w:val="en-US"/>
              </w:rPr>
              <w:t>Service facilities in Finland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7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70" w:type="dxa"/>
          </w:tcPr>
          <w:p w:rsidR="007C64B4" w:rsidRPr="00BC0E77"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68" w:type="dxa"/>
          </w:tcPr>
          <w:p w:rsidR="007C64B4" w:rsidRPr="00BC0E77"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2" w:type="dxa"/>
          </w:tcPr>
          <w:p w:rsidR="007C64B4" w:rsidRPr="00FD4AEC" w:rsidRDefault="007C64B4" w:rsidP="007C64B4">
            <w:pPr>
              <w:jc w:val="center"/>
              <w:rPr>
                <w:sz w:val="22"/>
                <w:szCs w:val="22"/>
                <w:lang w:val="en-GB"/>
              </w:rPr>
            </w:pPr>
            <w:r w:rsidRPr="00FD4AEC">
              <w:rPr>
                <w:sz w:val="22"/>
                <w:szCs w:val="22"/>
                <w:lang w:val="en-GB"/>
              </w:rPr>
              <w:t>N/A</w:t>
            </w:r>
          </w:p>
        </w:tc>
        <w:tc>
          <w:tcPr>
            <w:tcW w:w="1671" w:type="dxa"/>
          </w:tcPr>
          <w:p w:rsidR="007C64B4" w:rsidRPr="00FD4AEC" w:rsidRDefault="007C64B4" w:rsidP="007C64B4">
            <w:pPr>
              <w:jc w:val="center"/>
              <w:rPr>
                <w:sz w:val="22"/>
                <w:szCs w:val="22"/>
                <w:lang w:val="en-GB"/>
              </w:rPr>
            </w:pPr>
            <w:r w:rsidRPr="00FD4AEC">
              <w:rPr>
                <w:sz w:val="22"/>
                <w:szCs w:val="22"/>
              </w:rPr>
              <w:t>201</w:t>
            </w:r>
          </w:p>
        </w:tc>
        <w:tc>
          <w:tcPr>
            <w:tcW w:w="1670" w:type="dxa"/>
          </w:tcPr>
          <w:p w:rsidR="007C64B4" w:rsidRPr="00FD4AEC" w:rsidRDefault="007C64B4" w:rsidP="007C64B4">
            <w:pPr>
              <w:jc w:val="center"/>
              <w:rPr>
                <w:sz w:val="22"/>
                <w:szCs w:val="22"/>
                <w:lang w:val="en-GB"/>
              </w:rPr>
            </w:pPr>
            <w:r w:rsidRPr="00FD4AEC">
              <w:rPr>
                <w:sz w:val="22"/>
                <w:szCs w:val="22"/>
              </w:rPr>
              <w:t>N/A</w:t>
            </w:r>
          </w:p>
        </w:tc>
        <w:tc>
          <w:tcPr>
            <w:tcW w:w="1668" w:type="dxa"/>
          </w:tcPr>
          <w:p w:rsidR="007C64B4" w:rsidRPr="00FD4AEC" w:rsidRDefault="007C64B4" w:rsidP="007C64B4">
            <w:pPr>
              <w:jc w:val="center"/>
              <w:rPr>
                <w:sz w:val="22"/>
                <w:szCs w:val="22"/>
                <w:lang w:val="en-GB"/>
              </w:rPr>
            </w:pPr>
            <w:r w:rsidRPr="00FD4AEC">
              <w:rPr>
                <w:sz w:val="22"/>
                <w:szCs w:val="22"/>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842" w:type="dxa"/>
          </w:tcPr>
          <w:p w:rsidR="007C64B4" w:rsidRPr="00FD4AEC" w:rsidRDefault="007C64B4" w:rsidP="007C64B4">
            <w:pPr>
              <w:jc w:val="center"/>
              <w:rPr>
                <w:sz w:val="22"/>
                <w:szCs w:val="22"/>
                <w:lang w:val="en-GB"/>
              </w:rPr>
            </w:pPr>
            <w:r w:rsidRPr="00FD4AEC">
              <w:rPr>
                <w:sz w:val="22"/>
                <w:szCs w:val="22"/>
              </w:rPr>
              <w:t>N/A</w:t>
            </w:r>
          </w:p>
        </w:tc>
        <w:tc>
          <w:tcPr>
            <w:tcW w:w="1671" w:type="dxa"/>
          </w:tcPr>
          <w:p w:rsidR="007C64B4" w:rsidRPr="00FD4AEC" w:rsidRDefault="007C64B4" w:rsidP="007C64B4">
            <w:pPr>
              <w:jc w:val="center"/>
              <w:rPr>
                <w:sz w:val="22"/>
                <w:szCs w:val="22"/>
                <w:lang w:val="en-GB"/>
              </w:rPr>
            </w:pPr>
            <w:r w:rsidRPr="00FD4AEC">
              <w:rPr>
                <w:sz w:val="22"/>
                <w:szCs w:val="22"/>
              </w:rPr>
              <w:t>N/A</w:t>
            </w:r>
          </w:p>
        </w:tc>
        <w:tc>
          <w:tcPr>
            <w:tcW w:w="1670" w:type="dxa"/>
          </w:tcPr>
          <w:p w:rsidR="007C64B4" w:rsidRPr="00FD4AEC" w:rsidRDefault="007C64B4" w:rsidP="007C64B4">
            <w:pPr>
              <w:jc w:val="center"/>
              <w:rPr>
                <w:sz w:val="22"/>
                <w:szCs w:val="22"/>
                <w:lang w:val="en-GB"/>
              </w:rPr>
            </w:pPr>
            <w:r w:rsidRPr="00FD4AEC">
              <w:rPr>
                <w:sz w:val="22"/>
                <w:szCs w:val="22"/>
              </w:rPr>
              <w:t>N/A</w:t>
            </w:r>
          </w:p>
        </w:tc>
        <w:tc>
          <w:tcPr>
            <w:tcW w:w="1668" w:type="dxa"/>
          </w:tcPr>
          <w:p w:rsidR="007C64B4" w:rsidRPr="00FD4AEC" w:rsidRDefault="007C64B4" w:rsidP="007C64B4">
            <w:pPr>
              <w:jc w:val="center"/>
              <w:rPr>
                <w:sz w:val="22"/>
                <w:szCs w:val="22"/>
                <w:lang w:val="en-GB"/>
              </w:rPr>
            </w:pPr>
            <w:r w:rsidRPr="00FD4AEC">
              <w:rPr>
                <w:sz w:val="22"/>
                <w:szCs w:val="22"/>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842" w:type="dxa"/>
          </w:tcPr>
          <w:p w:rsidR="007C64B4" w:rsidRPr="00FD4AEC" w:rsidRDefault="007C64B4" w:rsidP="007C64B4">
            <w:pPr>
              <w:jc w:val="center"/>
              <w:rPr>
                <w:sz w:val="22"/>
                <w:szCs w:val="22"/>
                <w:lang w:val="en-GB"/>
              </w:rPr>
            </w:pPr>
            <w:r w:rsidRPr="00FD4AEC">
              <w:rPr>
                <w:sz w:val="22"/>
                <w:szCs w:val="22"/>
                <w:lang w:val="en-GB"/>
              </w:rPr>
              <w:t>N/A</w:t>
            </w:r>
          </w:p>
        </w:tc>
        <w:tc>
          <w:tcPr>
            <w:tcW w:w="1671" w:type="dxa"/>
          </w:tcPr>
          <w:p w:rsidR="007C64B4" w:rsidRPr="00FD4AEC" w:rsidRDefault="007C64B4" w:rsidP="007C64B4">
            <w:pPr>
              <w:jc w:val="center"/>
              <w:rPr>
                <w:sz w:val="22"/>
                <w:szCs w:val="22"/>
                <w:lang w:val="en-GB"/>
              </w:rPr>
            </w:pPr>
            <w:r w:rsidRPr="00FD4AEC">
              <w:rPr>
                <w:sz w:val="22"/>
                <w:szCs w:val="22"/>
              </w:rPr>
              <w:t>2</w:t>
            </w:r>
          </w:p>
        </w:tc>
        <w:tc>
          <w:tcPr>
            <w:tcW w:w="1670" w:type="dxa"/>
          </w:tcPr>
          <w:p w:rsidR="007C64B4" w:rsidRPr="00FD4AEC" w:rsidRDefault="007C64B4" w:rsidP="007C64B4">
            <w:pPr>
              <w:jc w:val="center"/>
              <w:rPr>
                <w:sz w:val="22"/>
                <w:szCs w:val="22"/>
                <w:lang w:val="en-GB"/>
              </w:rPr>
            </w:pPr>
            <w:r w:rsidRPr="00FD4AEC">
              <w:rPr>
                <w:sz w:val="22"/>
                <w:szCs w:val="22"/>
              </w:rPr>
              <w:t>N/A</w:t>
            </w:r>
          </w:p>
        </w:tc>
        <w:tc>
          <w:tcPr>
            <w:tcW w:w="1668" w:type="dxa"/>
          </w:tcPr>
          <w:p w:rsidR="007C64B4" w:rsidRPr="00FD4AEC" w:rsidRDefault="007C64B4" w:rsidP="007C64B4">
            <w:pPr>
              <w:jc w:val="center"/>
              <w:rPr>
                <w:sz w:val="22"/>
                <w:szCs w:val="22"/>
                <w:lang w:val="en-GB"/>
              </w:rPr>
            </w:pPr>
            <w:r w:rsidRPr="00FD4AEC">
              <w:rPr>
                <w:sz w:val="22"/>
                <w:szCs w:val="22"/>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2" w:type="dxa"/>
          </w:tcPr>
          <w:p w:rsidR="007C64B4" w:rsidRPr="00FD4AEC" w:rsidRDefault="007C64B4" w:rsidP="007C64B4">
            <w:pPr>
              <w:tabs>
                <w:tab w:val="center" w:pos="714"/>
                <w:tab w:val="left" w:pos="1387"/>
              </w:tabs>
              <w:jc w:val="center"/>
              <w:rPr>
                <w:sz w:val="22"/>
                <w:szCs w:val="22"/>
                <w:lang w:val="en-GB"/>
              </w:rPr>
            </w:pPr>
            <w:r w:rsidRPr="00FD4AEC">
              <w:rPr>
                <w:sz w:val="22"/>
                <w:szCs w:val="22"/>
              </w:rPr>
              <w:t>17</w:t>
            </w:r>
          </w:p>
        </w:tc>
        <w:tc>
          <w:tcPr>
            <w:tcW w:w="1671" w:type="dxa"/>
          </w:tcPr>
          <w:p w:rsidR="007C64B4" w:rsidRPr="00FD4AEC" w:rsidRDefault="007C64B4" w:rsidP="007C64B4">
            <w:pPr>
              <w:jc w:val="center"/>
              <w:rPr>
                <w:sz w:val="22"/>
                <w:szCs w:val="22"/>
                <w:lang w:val="en-GB"/>
              </w:rPr>
            </w:pPr>
            <w:r w:rsidRPr="00FD4AEC">
              <w:rPr>
                <w:sz w:val="22"/>
                <w:szCs w:val="22"/>
              </w:rPr>
              <w:t>N/A</w:t>
            </w:r>
          </w:p>
        </w:tc>
        <w:tc>
          <w:tcPr>
            <w:tcW w:w="1670" w:type="dxa"/>
          </w:tcPr>
          <w:p w:rsidR="007C64B4" w:rsidRPr="00FD4AEC" w:rsidRDefault="007C64B4" w:rsidP="007C64B4">
            <w:pPr>
              <w:jc w:val="center"/>
              <w:rPr>
                <w:sz w:val="22"/>
                <w:szCs w:val="22"/>
                <w:lang w:val="en-GB"/>
              </w:rPr>
            </w:pPr>
            <w:r w:rsidRPr="00FD4AEC">
              <w:rPr>
                <w:sz w:val="22"/>
                <w:szCs w:val="22"/>
              </w:rPr>
              <w:t>N/A</w:t>
            </w:r>
          </w:p>
        </w:tc>
        <w:tc>
          <w:tcPr>
            <w:tcW w:w="1668" w:type="dxa"/>
          </w:tcPr>
          <w:p w:rsidR="007C64B4" w:rsidRPr="00FD4AEC" w:rsidRDefault="007C64B4" w:rsidP="007C64B4">
            <w:pPr>
              <w:jc w:val="center"/>
              <w:rPr>
                <w:sz w:val="22"/>
                <w:szCs w:val="22"/>
                <w:lang w:val="en-GB"/>
              </w:rPr>
            </w:pPr>
            <w:r w:rsidRPr="00FD4AEC">
              <w:rPr>
                <w:sz w:val="22"/>
                <w:szCs w:val="22"/>
              </w:rPr>
              <w:t>1</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2" w:type="dxa"/>
          </w:tcPr>
          <w:p w:rsidR="007C64B4" w:rsidRPr="00FD4AEC" w:rsidRDefault="007C64B4" w:rsidP="007C64B4">
            <w:pPr>
              <w:jc w:val="center"/>
              <w:rPr>
                <w:sz w:val="22"/>
                <w:szCs w:val="22"/>
                <w:lang w:val="en-GB"/>
              </w:rPr>
            </w:pPr>
            <w:r w:rsidRPr="00FD4AEC">
              <w:rPr>
                <w:sz w:val="22"/>
                <w:szCs w:val="22"/>
              </w:rPr>
              <w:t>N/A</w:t>
            </w:r>
          </w:p>
        </w:tc>
        <w:tc>
          <w:tcPr>
            <w:tcW w:w="1671" w:type="dxa"/>
          </w:tcPr>
          <w:p w:rsidR="007C64B4" w:rsidRPr="00FD4AEC" w:rsidRDefault="007C64B4" w:rsidP="007C64B4">
            <w:pPr>
              <w:jc w:val="center"/>
              <w:rPr>
                <w:sz w:val="22"/>
                <w:szCs w:val="22"/>
                <w:lang w:val="en-GB"/>
              </w:rPr>
            </w:pPr>
            <w:r w:rsidRPr="00FD4AEC">
              <w:rPr>
                <w:sz w:val="22"/>
                <w:szCs w:val="22"/>
              </w:rPr>
              <w:t>N/A</w:t>
            </w:r>
          </w:p>
        </w:tc>
        <w:tc>
          <w:tcPr>
            <w:tcW w:w="1670" w:type="dxa"/>
          </w:tcPr>
          <w:p w:rsidR="007C64B4" w:rsidRPr="00FD4AEC" w:rsidRDefault="007C64B4" w:rsidP="007C64B4">
            <w:pPr>
              <w:jc w:val="center"/>
              <w:rPr>
                <w:sz w:val="22"/>
                <w:szCs w:val="22"/>
                <w:lang w:val="en-GB"/>
              </w:rPr>
            </w:pPr>
            <w:r w:rsidRPr="00FD4AEC">
              <w:rPr>
                <w:sz w:val="22"/>
                <w:szCs w:val="22"/>
              </w:rPr>
              <w:t>N/A</w:t>
            </w:r>
          </w:p>
        </w:tc>
        <w:tc>
          <w:tcPr>
            <w:tcW w:w="1668" w:type="dxa"/>
          </w:tcPr>
          <w:p w:rsidR="007C64B4" w:rsidRPr="00FD4AEC" w:rsidRDefault="007C64B4" w:rsidP="007C64B4">
            <w:pPr>
              <w:jc w:val="center"/>
              <w:rPr>
                <w:sz w:val="22"/>
                <w:szCs w:val="22"/>
                <w:lang w:val="en-GB"/>
              </w:rPr>
            </w:pPr>
            <w:r w:rsidRPr="00FD4AEC">
              <w:rPr>
                <w:sz w:val="22"/>
                <w:szCs w:val="22"/>
              </w:rPr>
              <w:t>N/A</w:t>
            </w:r>
          </w:p>
        </w:tc>
      </w:tr>
    </w:tbl>
    <w:p w:rsidR="007C64B4" w:rsidRPr="0027024B" w:rsidRDefault="007C64B4" w:rsidP="007C64B4">
      <w:pPr>
        <w:jc w:val="center"/>
        <w:rPr>
          <w:sz w:val="20"/>
          <w:lang w:val="en-GB"/>
        </w:rPr>
      </w:pPr>
      <w:r w:rsidRPr="00BC0E77">
        <w:rPr>
          <w:sz w:val="20"/>
          <w:lang w:val="en-GB"/>
        </w:rPr>
        <w:t xml:space="preserve">Table </w:t>
      </w:r>
      <w:r w:rsidRPr="00A51E8E">
        <w:rPr>
          <w:sz w:val="20"/>
          <w:szCs w:val="20"/>
          <w:lang w:val="en-US"/>
        </w:rPr>
        <w:fldChar w:fldCharType="begin"/>
      </w:r>
      <w:r w:rsidRPr="00A51E8E">
        <w:rPr>
          <w:sz w:val="20"/>
          <w:szCs w:val="20"/>
          <w:lang w:val="en-US"/>
        </w:rPr>
        <w:instrText xml:space="preserve"> SEQ Table \* ARABIC </w:instrText>
      </w:r>
      <w:r w:rsidRPr="00A51E8E">
        <w:rPr>
          <w:sz w:val="20"/>
          <w:szCs w:val="20"/>
          <w:lang w:val="en-US"/>
        </w:rPr>
        <w:fldChar w:fldCharType="separate"/>
      </w:r>
      <w:r w:rsidR="0099201F">
        <w:rPr>
          <w:noProof/>
          <w:sz w:val="20"/>
          <w:szCs w:val="20"/>
          <w:lang w:val="en-US"/>
        </w:rPr>
        <w:t>14</w:t>
      </w:r>
      <w:r w:rsidRPr="00A51E8E">
        <w:rPr>
          <w:sz w:val="20"/>
          <w:szCs w:val="20"/>
          <w:lang w:val="en-US"/>
        </w:rPr>
        <w:fldChar w:fldCharType="end"/>
      </w:r>
      <w:r w:rsidRPr="00A51E8E">
        <w:rPr>
          <w:sz w:val="20"/>
          <w:szCs w:val="20"/>
          <w:lang w:val="en-US"/>
        </w:rPr>
        <w:t>:</w:t>
      </w:r>
      <w:r w:rsidRPr="00BC0E77">
        <w:rPr>
          <w:sz w:val="20"/>
          <w:lang w:val="en-GB"/>
        </w:rPr>
        <w:t xml:space="preserve"> No of service facilities in Finland according to the market monitoring survey of IRG-Rail 2016</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39" w:name="__RefHeading__5335_1151380434"/>
      <w:bookmarkStart w:id="40" w:name="_Toc494177959"/>
      <w:bookmarkStart w:id="41" w:name="_Toc495652236"/>
      <w:bookmarkStart w:id="42" w:name="_Toc496702660"/>
      <w:bookmarkEnd w:id="39"/>
      <w:r w:rsidRPr="0046443F">
        <w:rPr>
          <w:rFonts w:ascii="Times New Roman" w:hAnsi="Times New Roman" w:cs="Times New Roman"/>
          <w:b/>
          <w:color w:val="auto"/>
          <w:sz w:val="24"/>
          <w:szCs w:val="24"/>
        </w:rPr>
        <w:t>France</w:t>
      </w:r>
      <w:bookmarkEnd w:id="40"/>
      <w:bookmarkEnd w:id="41"/>
      <w:bookmarkEnd w:id="42"/>
    </w:p>
    <w:tbl>
      <w:tblPr>
        <w:tblStyle w:val="Grilledutableau"/>
        <w:tblW w:w="9125" w:type="dxa"/>
        <w:jc w:val="center"/>
        <w:tblLook w:val="04A0" w:firstRow="1" w:lastRow="0" w:firstColumn="1" w:lastColumn="0" w:noHBand="0" w:noVBand="1"/>
      </w:tblPr>
      <w:tblGrid>
        <w:gridCol w:w="2268"/>
        <w:gridCol w:w="1842"/>
        <w:gridCol w:w="1679"/>
        <w:gridCol w:w="1668"/>
        <w:gridCol w:w="1668"/>
      </w:tblGrid>
      <w:tr w:rsidR="007C64B4" w:rsidRPr="00282239" w:rsidTr="007C64B4">
        <w:trPr>
          <w:jc w:val="center"/>
        </w:trPr>
        <w:tc>
          <w:tcPr>
            <w:tcW w:w="9125" w:type="dxa"/>
            <w:gridSpan w:val="5"/>
          </w:tcPr>
          <w:p w:rsidR="007C64B4" w:rsidRPr="00C745E9" w:rsidRDefault="007C64B4" w:rsidP="007C64B4">
            <w:pPr>
              <w:jc w:val="center"/>
              <w:rPr>
                <w:lang w:val="en-GB"/>
              </w:rPr>
            </w:pPr>
            <w:r>
              <w:rPr>
                <w:lang w:val="en-US"/>
              </w:rPr>
              <w:t>Service facilities in France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79"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68" w:type="dxa"/>
          </w:tcPr>
          <w:p w:rsidR="007C64B4" w:rsidRPr="00BC0E77"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65" w:type="dxa"/>
          </w:tcPr>
          <w:p w:rsidR="007C64B4" w:rsidRPr="00BC0E77"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2" w:type="dxa"/>
          </w:tcPr>
          <w:p w:rsidR="007C64B4" w:rsidRPr="00FD4AEC" w:rsidRDefault="007C64B4" w:rsidP="007C64B4">
            <w:pPr>
              <w:jc w:val="center"/>
              <w:rPr>
                <w:sz w:val="22"/>
                <w:szCs w:val="22"/>
                <w:lang w:val="en-GB"/>
              </w:rPr>
            </w:pPr>
            <w:r w:rsidRPr="00FD4AEC">
              <w:rPr>
                <w:sz w:val="22"/>
                <w:szCs w:val="22"/>
                <w:lang w:val="en-GB"/>
              </w:rPr>
              <w:t>2.957 (buildings)</w:t>
            </w:r>
          </w:p>
        </w:tc>
        <w:tc>
          <w:tcPr>
            <w:tcW w:w="1679" w:type="dxa"/>
          </w:tcPr>
          <w:p w:rsidR="007C64B4" w:rsidRPr="00FD4AEC" w:rsidRDefault="007C64B4" w:rsidP="007C64B4">
            <w:pPr>
              <w:jc w:val="center"/>
              <w:rPr>
                <w:sz w:val="22"/>
                <w:szCs w:val="22"/>
                <w:lang w:val="en-GB"/>
              </w:rPr>
            </w:pPr>
            <w:r w:rsidRPr="00FD4AEC">
              <w:rPr>
                <w:sz w:val="22"/>
                <w:szCs w:val="22"/>
                <w:lang w:val="en-GB"/>
              </w:rPr>
              <w:t>2.957</w:t>
            </w:r>
            <w:r w:rsidRPr="00FD4AEC">
              <w:rPr>
                <w:sz w:val="22"/>
                <w:szCs w:val="22"/>
              </w:rPr>
              <w:t xml:space="preserve"> (</w:t>
            </w:r>
            <w:proofErr w:type="spellStart"/>
            <w:r w:rsidRPr="00FD4AEC">
              <w:rPr>
                <w:sz w:val="22"/>
                <w:szCs w:val="22"/>
              </w:rPr>
              <w:t>with</w:t>
            </w:r>
            <w:proofErr w:type="spellEnd"/>
            <w:r w:rsidRPr="00FD4AEC">
              <w:rPr>
                <w:sz w:val="22"/>
                <w:szCs w:val="22"/>
              </w:rPr>
              <w:t xml:space="preserve"> </w:t>
            </w:r>
            <w:proofErr w:type="spellStart"/>
            <w:r w:rsidRPr="00FD4AEC">
              <w:rPr>
                <w:sz w:val="22"/>
                <w:szCs w:val="22"/>
              </w:rPr>
              <w:t>several</w:t>
            </w:r>
            <w:proofErr w:type="spellEnd"/>
            <w:r w:rsidRPr="00FD4AEC">
              <w:rPr>
                <w:sz w:val="22"/>
                <w:szCs w:val="22"/>
              </w:rPr>
              <w:t xml:space="preserve"> </w:t>
            </w:r>
            <w:r w:rsidRPr="00FD4AEC">
              <w:rPr>
                <w:sz w:val="22"/>
                <w:szCs w:val="22"/>
                <w:lang w:val="en-GB"/>
              </w:rPr>
              <w:t>platforms each</w:t>
            </w:r>
            <w:r w:rsidRPr="00FD4AEC">
              <w:rPr>
                <w:sz w:val="22"/>
                <w:szCs w:val="22"/>
              </w:rPr>
              <w:t>)</w:t>
            </w:r>
          </w:p>
        </w:tc>
        <w:tc>
          <w:tcPr>
            <w:tcW w:w="1668" w:type="dxa"/>
          </w:tcPr>
          <w:p w:rsidR="007C64B4" w:rsidRPr="00FD4AEC" w:rsidRDefault="007C64B4" w:rsidP="007C64B4">
            <w:pPr>
              <w:jc w:val="center"/>
              <w:rPr>
                <w:sz w:val="22"/>
                <w:szCs w:val="22"/>
                <w:lang w:val="en-GB"/>
              </w:rPr>
            </w:pPr>
            <w:r w:rsidRPr="00FD4AEC">
              <w:rPr>
                <w:sz w:val="22"/>
                <w:szCs w:val="22"/>
                <w:lang w:val="en-GB"/>
              </w:rPr>
              <w:t>0</w:t>
            </w:r>
          </w:p>
        </w:tc>
        <w:tc>
          <w:tcPr>
            <w:tcW w:w="1665" w:type="dxa"/>
          </w:tcPr>
          <w:p w:rsidR="007C64B4" w:rsidRPr="00FD4AEC" w:rsidRDefault="007C64B4" w:rsidP="007C64B4">
            <w:pPr>
              <w:jc w:val="center"/>
              <w:rPr>
                <w:sz w:val="22"/>
                <w:szCs w:val="22"/>
                <w:lang w:val="en-GB"/>
              </w:rPr>
            </w:pPr>
            <w:r w:rsidRPr="00FD4AEC">
              <w:rPr>
                <w:sz w:val="22"/>
                <w:szCs w:val="22"/>
                <w:lang w:val="en-GB"/>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842" w:type="dxa"/>
          </w:tcPr>
          <w:p w:rsidR="007C64B4" w:rsidRPr="00FD4AEC" w:rsidRDefault="007C64B4" w:rsidP="007C64B4">
            <w:pPr>
              <w:jc w:val="center"/>
              <w:rPr>
                <w:sz w:val="22"/>
                <w:szCs w:val="22"/>
                <w:lang w:val="en-GB"/>
              </w:rPr>
            </w:pPr>
            <w:r w:rsidRPr="00FD4AEC">
              <w:rPr>
                <w:sz w:val="22"/>
                <w:szCs w:val="22"/>
              </w:rPr>
              <w:t>0</w:t>
            </w:r>
          </w:p>
        </w:tc>
        <w:tc>
          <w:tcPr>
            <w:tcW w:w="1679" w:type="dxa"/>
          </w:tcPr>
          <w:p w:rsidR="007C64B4" w:rsidRPr="00FD4AEC" w:rsidRDefault="007C64B4" w:rsidP="007C64B4">
            <w:pPr>
              <w:jc w:val="center"/>
              <w:rPr>
                <w:sz w:val="22"/>
                <w:szCs w:val="22"/>
                <w:lang w:val="en-GB"/>
              </w:rPr>
            </w:pPr>
            <w:r w:rsidRPr="00FD4AEC">
              <w:rPr>
                <w:sz w:val="22"/>
                <w:szCs w:val="22"/>
              </w:rPr>
              <w:t>0</w:t>
            </w:r>
          </w:p>
        </w:tc>
        <w:tc>
          <w:tcPr>
            <w:tcW w:w="1668" w:type="dxa"/>
          </w:tcPr>
          <w:p w:rsidR="007C64B4" w:rsidRPr="00FD4AEC" w:rsidRDefault="007C64B4" w:rsidP="007C64B4">
            <w:pPr>
              <w:jc w:val="center"/>
              <w:rPr>
                <w:sz w:val="22"/>
                <w:szCs w:val="22"/>
                <w:lang w:val="en-GB"/>
              </w:rPr>
            </w:pPr>
            <w:r w:rsidRPr="00FD4AEC">
              <w:rPr>
                <w:sz w:val="22"/>
                <w:szCs w:val="22"/>
              </w:rPr>
              <w:t>N/A</w:t>
            </w:r>
          </w:p>
        </w:tc>
        <w:tc>
          <w:tcPr>
            <w:tcW w:w="1665" w:type="dxa"/>
          </w:tcPr>
          <w:p w:rsidR="007C64B4" w:rsidRPr="00FD4AEC" w:rsidRDefault="007C64B4" w:rsidP="007C64B4">
            <w:pPr>
              <w:jc w:val="center"/>
              <w:rPr>
                <w:sz w:val="22"/>
                <w:szCs w:val="22"/>
                <w:lang w:val="en-GB"/>
              </w:rPr>
            </w:pPr>
            <w:r w:rsidRPr="00FD4AEC">
              <w:rPr>
                <w:sz w:val="22"/>
                <w:szCs w:val="22"/>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842" w:type="dxa"/>
          </w:tcPr>
          <w:p w:rsidR="007C64B4" w:rsidRPr="00FD4AEC" w:rsidRDefault="007C64B4" w:rsidP="007C64B4">
            <w:pPr>
              <w:jc w:val="center"/>
              <w:rPr>
                <w:sz w:val="22"/>
                <w:szCs w:val="22"/>
                <w:lang w:val="en-GB"/>
              </w:rPr>
            </w:pPr>
            <w:r w:rsidRPr="00FD4AEC">
              <w:rPr>
                <w:sz w:val="22"/>
                <w:szCs w:val="22"/>
                <w:lang w:val="en-GB"/>
              </w:rPr>
              <w:t>5</w:t>
            </w:r>
          </w:p>
        </w:tc>
        <w:tc>
          <w:tcPr>
            <w:tcW w:w="1679" w:type="dxa"/>
          </w:tcPr>
          <w:p w:rsidR="007C64B4" w:rsidRPr="00FD4AEC" w:rsidRDefault="007C64B4" w:rsidP="007C64B4">
            <w:pPr>
              <w:jc w:val="center"/>
              <w:rPr>
                <w:sz w:val="22"/>
                <w:szCs w:val="22"/>
                <w:lang w:val="en-GB"/>
              </w:rPr>
            </w:pPr>
            <w:r w:rsidRPr="00FD4AEC">
              <w:rPr>
                <w:sz w:val="22"/>
                <w:szCs w:val="22"/>
              </w:rPr>
              <w:t>0</w:t>
            </w:r>
          </w:p>
        </w:tc>
        <w:tc>
          <w:tcPr>
            <w:tcW w:w="1668" w:type="dxa"/>
          </w:tcPr>
          <w:p w:rsidR="007C64B4" w:rsidRPr="00FD4AEC" w:rsidRDefault="007C64B4" w:rsidP="007C64B4">
            <w:pPr>
              <w:jc w:val="center"/>
              <w:rPr>
                <w:sz w:val="22"/>
                <w:szCs w:val="22"/>
                <w:lang w:val="en-GB"/>
              </w:rPr>
            </w:pPr>
            <w:r w:rsidRPr="00FD4AEC">
              <w:rPr>
                <w:sz w:val="22"/>
                <w:szCs w:val="22"/>
              </w:rPr>
              <w:t>0</w:t>
            </w:r>
          </w:p>
        </w:tc>
        <w:tc>
          <w:tcPr>
            <w:tcW w:w="1665" w:type="dxa"/>
          </w:tcPr>
          <w:p w:rsidR="007C64B4" w:rsidRPr="00FD4AEC" w:rsidRDefault="007C64B4" w:rsidP="007C64B4">
            <w:pPr>
              <w:jc w:val="center"/>
              <w:rPr>
                <w:sz w:val="22"/>
                <w:szCs w:val="22"/>
                <w:lang w:val="en-GB"/>
              </w:rPr>
            </w:pPr>
            <w:r w:rsidRPr="00FD4AEC">
              <w:rPr>
                <w:sz w:val="22"/>
                <w:szCs w:val="22"/>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2" w:type="dxa"/>
          </w:tcPr>
          <w:p w:rsidR="007C64B4" w:rsidRPr="00FD4AEC" w:rsidRDefault="00551980" w:rsidP="007C64B4">
            <w:pPr>
              <w:tabs>
                <w:tab w:val="center" w:pos="714"/>
                <w:tab w:val="left" w:pos="1387"/>
              </w:tabs>
              <w:jc w:val="center"/>
              <w:rPr>
                <w:sz w:val="22"/>
                <w:szCs w:val="22"/>
                <w:lang w:val="en-GB"/>
              </w:rPr>
            </w:pPr>
            <w:r>
              <w:rPr>
                <w:sz w:val="22"/>
                <w:szCs w:val="22"/>
              </w:rPr>
              <w:t>101</w:t>
            </w:r>
          </w:p>
        </w:tc>
        <w:tc>
          <w:tcPr>
            <w:tcW w:w="1679" w:type="dxa"/>
          </w:tcPr>
          <w:p w:rsidR="007C64B4" w:rsidRPr="00FD4AEC" w:rsidRDefault="007C64B4" w:rsidP="007C64B4">
            <w:pPr>
              <w:jc w:val="center"/>
              <w:rPr>
                <w:sz w:val="22"/>
                <w:szCs w:val="22"/>
                <w:lang w:val="en-GB"/>
              </w:rPr>
            </w:pPr>
            <w:r w:rsidRPr="00FD4AEC">
              <w:rPr>
                <w:sz w:val="22"/>
                <w:szCs w:val="22"/>
              </w:rPr>
              <w:t>0</w:t>
            </w:r>
          </w:p>
        </w:tc>
        <w:tc>
          <w:tcPr>
            <w:tcW w:w="1668" w:type="dxa"/>
          </w:tcPr>
          <w:p w:rsidR="007C64B4" w:rsidRPr="00FD4AEC" w:rsidRDefault="00674017" w:rsidP="007C64B4">
            <w:pPr>
              <w:jc w:val="center"/>
              <w:rPr>
                <w:sz w:val="22"/>
                <w:szCs w:val="22"/>
                <w:lang w:val="en-GB"/>
              </w:rPr>
            </w:pPr>
            <w:r>
              <w:rPr>
                <w:sz w:val="22"/>
                <w:szCs w:val="22"/>
                <w:lang w:val="en-GB"/>
              </w:rPr>
              <w:t>0</w:t>
            </w:r>
          </w:p>
        </w:tc>
        <w:tc>
          <w:tcPr>
            <w:tcW w:w="1665" w:type="dxa"/>
          </w:tcPr>
          <w:p w:rsidR="007C64B4" w:rsidRPr="00FD4AEC" w:rsidRDefault="007C64B4" w:rsidP="007C64B4">
            <w:pPr>
              <w:jc w:val="center"/>
              <w:rPr>
                <w:sz w:val="22"/>
                <w:szCs w:val="22"/>
                <w:lang w:val="en-GB"/>
              </w:rPr>
            </w:pPr>
            <w:r w:rsidRPr="00FD4AEC">
              <w:rPr>
                <w:sz w:val="22"/>
                <w:szCs w:val="22"/>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2" w:type="dxa"/>
          </w:tcPr>
          <w:p w:rsidR="007C64B4" w:rsidRPr="00FD4AEC" w:rsidRDefault="00674017" w:rsidP="007C64B4">
            <w:pPr>
              <w:jc w:val="center"/>
              <w:rPr>
                <w:sz w:val="22"/>
                <w:szCs w:val="22"/>
                <w:lang w:val="en-GB"/>
              </w:rPr>
            </w:pPr>
            <w:r w:rsidRPr="00FD4AEC">
              <w:rPr>
                <w:sz w:val="22"/>
                <w:szCs w:val="22"/>
              </w:rPr>
              <w:t>75</w:t>
            </w:r>
          </w:p>
        </w:tc>
        <w:tc>
          <w:tcPr>
            <w:tcW w:w="1679" w:type="dxa"/>
          </w:tcPr>
          <w:p w:rsidR="007C64B4" w:rsidRPr="00FD4AEC" w:rsidRDefault="007C64B4" w:rsidP="007C64B4">
            <w:pPr>
              <w:jc w:val="center"/>
              <w:rPr>
                <w:sz w:val="22"/>
                <w:szCs w:val="22"/>
                <w:lang w:val="en-GB"/>
              </w:rPr>
            </w:pPr>
            <w:r w:rsidRPr="00FD4AEC">
              <w:rPr>
                <w:sz w:val="22"/>
                <w:szCs w:val="22"/>
              </w:rPr>
              <w:t>0</w:t>
            </w:r>
          </w:p>
        </w:tc>
        <w:tc>
          <w:tcPr>
            <w:tcW w:w="1668" w:type="dxa"/>
          </w:tcPr>
          <w:p w:rsidR="007C64B4" w:rsidRPr="00FD4AEC" w:rsidRDefault="00674017" w:rsidP="007C64B4">
            <w:pPr>
              <w:jc w:val="center"/>
              <w:rPr>
                <w:sz w:val="22"/>
                <w:szCs w:val="22"/>
                <w:lang w:val="en-GB"/>
              </w:rPr>
            </w:pPr>
            <w:r>
              <w:rPr>
                <w:sz w:val="22"/>
                <w:szCs w:val="22"/>
                <w:lang w:val="en-GB"/>
              </w:rPr>
              <w:t>0</w:t>
            </w:r>
          </w:p>
        </w:tc>
        <w:tc>
          <w:tcPr>
            <w:tcW w:w="1665" w:type="dxa"/>
          </w:tcPr>
          <w:p w:rsidR="007C64B4" w:rsidRPr="00FD4AEC" w:rsidRDefault="007C64B4" w:rsidP="007C64B4">
            <w:pPr>
              <w:jc w:val="center"/>
              <w:rPr>
                <w:sz w:val="22"/>
                <w:szCs w:val="22"/>
                <w:lang w:val="en-GB"/>
              </w:rPr>
            </w:pPr>
            <w:r w:rsidRPr="00FD4AEC">
              <w:rPr>
                <w:sz w:val="22"/>
                <w:szCs w:val="22"/>
              </w:rPr>
              <w:t>0</w:t>
            </w:r>
          </w:p>
        </w:tc>
      </w:tr>
    </w:tbl>
    <w:p w:rsidR="007C64B4" w:rsidRPr="00BC0E77" w:rsidRDefault="007C64B4" w:rsidP="007C64B4">
      <w:pPr>
        <w:pStyle w:val="Lgende"/>
        <w:keepNext/>
        <w:jc w:val="center"/>
        <w:rPr>
          <w:sz w:val="20"/>
          <w:lang w:val="en-GB"/>
        </w:rPr>
      </w:pPr>
      <w:r w:rsidRPr="00BC0E77">
        <w:rPr>
          <w:b w:val="0"/>
          <w:color w:val="auto"/>
          <w:sz w:val="20"/>
          <w:lang w:val="en-GB"/>
        </w:rPr>
        <w:t xml:space="preserve">Table </w:t>
      </w:r>
      <w:r w:rsidRPr="00096A00">
        <w:rPr>
          <w:b w:val="0"/>
          <w:noProof/>
          <w:color w:val="auto"/>
          <w:sz w:val="20"/>
          <w:szCs w:val="20"/>
          <w:lang w:val="en-US"/>
        </w:rPr>
        <w:fldChar w:fldCharType="begin"/>
      </w:r>
      <w:r w:rsidRPr="00096A00">
        <w:rPr>
          <w:b w:val="0"/>
          <w:noProof/>
          <w:color w:val="auto"/>
          <w:sz w:val="20"/>
          <w:szCs w:val="20"/>
          <w:lang w:val="en-US"/>
        </w:rPr>
        <w:instrText xml:space="preserve"> SEQ Table \* ARABIC </w:instrText>
      </w:r>
      <w:r w:rsidRPr="00096A00">
        <w:rPr>
          <w:b w:val="0"/>
          <w:noProof/>
          <w:color w:val="auto"/>
          <w:sz w:val="20"/>
          <w:szCs w:val="20"/>
          <w:lang w:val="en-US"/>
        </w:rPr>
        <w:fldChar w:fldCharType="separate"/>
      </w:r>
      <w:r w:rsidR="0099201F">
        <w:rPr>
          <w:b w:val="0"/>
          <w:noProof/>
          <w:color w:val="auto"/>
          <w:sz w:val="20"/>
          <w:szCs w:val="20"/>
          <w:lang w:val="en-US"/>
        </w:rPr>
        <w:t>15</w:t>
      </w:r>
      <w:r w:rsidRPr="00096A00">
        <w:rPr>
          <w:b w:val="0"/>
          <w:noProof/>
          <w:color w:val="auto"/>
          <w:sz w:val="20"/>
          <w:szCs w:val="20"/>
          <w:lang w:val="en-US"/>
        </w:rPr>
        <w:fldChar w:fldCharType="end"/>
      </w:r>
      <w:r w:rsidRPr="00916248">
        <w:rPr>
          <w:b w:val="0"/>
          <w:noProof/>
          <w:sz w:val="20"/>
          <w:szCs w:val="20"/>
          <w:lang w:val="en-US"/>
        </w:rPr>
        <w:t>:</w:t>
      </w:r>
      <w:r w:rsidRPr="00BC0E77">
        <w:rPr>
          <w:b w:val="0"/>
          <w:color w:val="auto"/>
          <w:sz w:val="20"/>
          <w:lang w:val="en-GB"/>
        </w:rPr>
        <w:t xml:space="preserve"> No of service facilities in France according to the market monitoring survey of IRG-Rail 2016</w:t>
      </w:r>
    </w:p>
    <w:p w:rsidR="007C64B4" w:rsidRPr="004816A1" w:rsidRDefault="007C64B4" w:rsidP="007C64B4">
      <w:pPr>
        <w:pStyle w:val="PrformatHTML"/>
        <w:spacing w:after="160"/>
        <w:jc w:val="both"/>
        <w:rPr>
          <w:rFonts w:ascii="Times New Roman" w:hAnsi="Times New Roman" w:cs="Times New Roman"/>
          <w:color w:val="212121"/>
          <w:sz w:val="24"/>
          <w:szCs w:val="24"/>
          <w:lang w:val="en-US"/>
        </w:rPr>
      </w:pPr>
      <w:r w:rsidRPr="000B29D9">
        <w:rPr>
          <w:rFonts w:ascii="Times New Roman" w:hAnsi="Times New Roman" w:cs="Times New Roman"/>
          <w:sz w:val="24"/>
          <w:szCs w:val="24"/>
          <w:lang w:val="en-GB"/>
        </w:rPr>
        <w:t>Since the 1</w:t>
      </w:r>
      <w:r w:rsidR="00674017" w:rsidRPr="00674017">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w:t>
      </w:r>
      <w:r w:rsidRPr="000B29D9">
        <w:rPr>
          <w:rFonts w:ascii="Times New Roman" w:hAnsi="Times New Roman" w:cs="Times New Roman"/>
          <w:sz w:val="24"/>
          <w:szCs w:val="24"/>
          <w:lang w:val="en-GB"/>
        </w:rPr>
        <w:t xml:space="preserve">January 2015, ARAFER has to provide a binding opinion for each service facility referred to in Annex II points 2, 3 and 4, if relevant, and for each timetable. To do so, ARAFER </w:t>
      </w:r>
      <w:r w:rsidRPr="00BC0E77">
        <w:rPr>
          <w:rFonts w:ascii="Times New Roman" w:hAnsi="Times New Roman"/>
          <w:color w:val="212121"/>
          <w:sz w:val="24"/>
          <w:lang w:val="en"/>
        </w:rPr>
        <w:t xml:space="preserve">analyzes the charges scheme of the services provided, verifies if the costs taken into account by service facility operators are justified and if the charges are not discriminatory. For passenger stations, in the first instance, the Authority has always provided </w:t>
      </w:r>
      <w:r>
        <w:rPr>
          <w:rFonts w:ascii="Times New Roman" w:hAnsi="Times New Roman"/>
          <w:color w:val="212121"/>
          <w:sz w:val="24"/>
          <w:lang w:val="en"/>
        </w:rPr>
        <w:t xml:space="preserve">an </w:t>
      </w:r>
      <w:proofErr w:type="spellStart"/>
      <w:r>
        <w:rPr>
          <w:rFonts w:ascii="Times New Roman" w:hAnsi="Times New Roman"/>
          <w:color w:val="212121"/>
          <w:sz w:val="24"/>
          <w:lang w:val="en"/>
        </w:rPr>
        <w:t>unfavourable</w:t>
      </w:r>
      <w:proofErr w:type="spellEnd"/>
      <w:r w:rsidRPr="00962306">
        <w:rPr>
          <w:rFonts w:ascii="Times New Roman" w:hAnsi="Times New Roman"/>
          <w:color w:val="212121"/>
          <w:sz w:val="24"/>
          <w:lang w:val="en"/>
        </w:rPr>
        <w:t xml:space="preserve"> opinion due to the lack of justification concerning the type and the level of costs taken into account, especially the level of reasonable profit. For </w:t>
      </w:r>
      <w:proofErr w:type="spellStart"/>
      <w:r w:rsidRPr="00962306">
        <w:rPr>
          <w:rFonts w:ascii="Times New Roman" w:hAnsi="Times New Roman"/>
          <w:color w:val="212121"/>
          <w:sz w:val="24"/>
          <w:lang w:val="en"/>
        </w:rPr>
        <w:t>marshalling</w:t>
      </w:r>
      <w:proofErr w:type="spellEnd"/>
      <w:r w:rsidRPr="00962306">
        <w:rPr>
          <w:rFonts w:ascii="Times New Roman" w:hAnsi="Times New Roman"/>
          <w:color w:val="212121"/>
          <w:sz w:val="24"/>
          <w:lang w:val="en"/>
        </w:rPr>
        <w:t xml:space="preserve"> yards, maintenance facilities and refueling facilities, the Authority has also given </w:t>
      </w:r>
      <w:proofErr w:type="spellStart"/>
      <w:r>
        <w:rPr>
          <w:rFonts w:ascii="Times New Roman" w:hAnsi="Times New Roman"/>
          <w:color w:val="212121"/>
          <w:sz w:val="24"/>
          <w:lang w:val="en"/>
        </w:rPr>
        <w:t>unfavourable</w:t>
      </w:r>
      <w:proofErr w:type="spellEnd"/>
      <w:r w:rsidRPr="00962306">
        <w:rPr>
          <w:rFonts w:ascii="Times New Roman" w:hAnsi="Times New Roman"/>
          <w:color w:val="212121"/>
          <w:sz w:val="24"/>
          <w:lang w:val="en"/>
        </w:rPr>
        <w:t xml:space="preserve"> opinions highlighting that hypotheses made by the operators </w:t>
      </w:r>
      <w:r>
        <w:rPr>
          <w:rFonts w:ascii="Times New Roman" w:hAnsi="Times New Roman"/>
          <w:color w:val="212121"/>
          <w:sz w:val="24"/>
          <w:lang w:val="en"/>
        </w:rPr>
        <w:t>were not</w:t>
      </w:r>
      <w:r w:rsidRPr="00962306">
        <w:rPr>
          <w:rFonts w:ascii="Times New Roman" w:hAnsi="Times New Roman"/>
          <w:color w:val="212121"/>
          <w:sz w:val="24"/>
          <w:lang w:val="en"/>
        </w:rPr>
        <w:t xml:space="preserve"> sufficiently justified, especially regarding the cost of capital and the operators’ structural costs.</w:t>
      </w:r>
    </w:p>
    <w:p w:rsidR="007C64B4" w:rsidRDefault="007C64B4" w:rsidP="007C64B4">
      <w:pPr>
        <w:spacing w:after="160"/>
        <w:jc w:val="both"/>
        <w:rPr>
          <w:lang w:val="en-GB"/>
        </w:rPr>
      </w:pPr>
      <w:r>
        <w:rPr>
          <w:lang w:val="en-GB"/>
        </w:rPr>
        <w:t xml:space="preserve">Between 2015 and 2017, ARAFER has taken six </w:t>
      </w:r>
      <w:r>
        <w:rPr>
          <w:i/>
          <w:lang w:val="en-GB"/>
        </w:rPr>
        <w:t>ex-</w:t>
      </w:r>
      <w:r w:rsidRPr="000B29D9">
        <w:rPr>
          <w:i/>
          <w:lang w:val="en-GB"/>
        </w:rPr>
        <w:t>post</w:t>
      </w:r>
      <w:r>
        <w:rPr>
          <w:lang w:val="en-GB"/>
        </w:rPr>
        <w:t xml:space="preserve"> decisions concerning charges for service facilities. </w:t>
      </w:r>
      <w:r w:rsidRPr="000D68E4">
        <w:rPr>
          <w:lang w:val="en-GB"/>
        </w:rPr>
        <w:t>In 2015, two public transport authorities introduced a dispute about charges in stations</w:t>
      </w:r>
      <w:r>
        <w:rPr>
          <w:lang w:val="en-GB"/>
        </w:rPr>
        <w:t xml:space="preserve"> </w:t>
      </w:r>
      <w:r w:rsidRPr="000D68E4">
        <w:rPr>
          <w:lang w:val="en-GB"/>
        </w:rPr>
        <w:t xml:space="preserve">against the infrastructure manager (the owner of the platforms) and SNCF Mobilités (the owner of the buildings). Many issues were </w:t>
      </w:r>
      <w:r>
        <w:rPr>
          <w:lang w:val="en-GB"/>
        </w:rPr>
        <w:t>raised</w:t>
      </w:r>
      <w:r w:rsidRPr="000D68E4">
        <w:rPr>
          <w:lang w:val="en-GB"/>
        </w:rPr>
        <w:t>, such as the level of WACC, the general obligation of transparency, performance and productivity commitments and allocation key for the charges.</w:t>
      </w:r>
      <w:r>
        <w:rPr>
          <w:lang w:val="en-GB"/>
        </w:rPr>
        <w:t xml:space="preserve"> The decisions of ARAFER led to a decrease of charges set by SNCF Mobilités and SNCF Réseau and an improvement in terms of transparency of charges. Both SNCF Réseau and SNCF Mobilités appealed against these decisions. SNCF Mobilités withdrew its appeal and the Court of Appeal in Paris dismissed SNCF </w:t>
      </w:r>
      <w:proofErr w:type="spellStart"/>
      <w:r>
        <w:rPr>
          <w:lang w:val="en-GB"/>
        </w:rPr>
        <w:t>Réseau’s</w:t>
      </w:r>
      <w:proofErr w:type="spellEnd"/>
      <w:r>
        <w:rPr>
          <w:lang w:val="en-GB"/>
        </w:rPr>
        <w:t xml:space="preserve"> claims. In 2016, a new public transport authority complained about the way charges of passenger </w:t>
      </w:r>
      <w:r>
        <w:rPr>
          <w:lang w:val="en-GB"/>
        </w:rPr>
        <w:lastRenderedPageBreak/>
        <w:t>stations (buildings and platforms) were determined by SNCF Réseau and SNCF Mobilités. Most of the issues raised were in fact already covered by the regulatory body’s decisions published in 2015. These decisions are available on ARAFER’s website</w:t>
      </w:r>
      <w:r w:rsidRPr="000D68E4">
        <w:rPr>
          <w:vertAlign w:val="superscript"/>
          <w:lang w:val="en-GB"/>
        </w:rPr>
        <w:footnoteReference w:id="46"/>
      </w:r>
      <w:r>
        <w:rPr>
          <w:lang w:val="en-GB"/>
        </w:rPr>
        <w:t>.</w:t>
      </w:r>
    </w:p>
    <w:p w:rsidR="007C64B4" w:rsidRDefault="007C64B4" w:rsidP="007C64B4">
      <w:pPr>
        <w:jc w:val="both"/>
        <w:rPr>
          <w:lang w:val="en-GB"/>
        </w:rPr>
      </w:pPr>
      <w:r>
        <w:rPr>
          <w:lang w:val="en-GB"/>
        </w:rPr>
        <w:t xml:space="preserve">Finally, at the beginning of 2016, ARAFER closed a series of complaints lodged by the French association of rail (AFRA) on the access to and tariffs of intermodal freight terminals and marshalling yards. ARAFER rejected the claims of AFRA considering there was no sufficient proof that SNCF Réseau, SNCF Mobilités, </w:t>
      </w:r>
      <w:proofErr w:type="spellStart"/>
      <w:r>
        <w:rPr>
          <w:lang w:val="en-GB"/>
        </w:rPr>
        <w:t>Naviland</w:t>
      </w:r>
      <w:proofErr w:type="spellEnd"/>
      <w:r>
        <w:rPr>
          <w:lang w:val="en-GB"/>
        </w:rPr>
        <w:t xml:space="preserve"> Cargo and </w:t>
      </w:r>
      <w:proofErr w:type="spellStart"/>
      <w:r>
        <w:rPr>
          <w:lang w:val="en-GB"/>
        </w:rPr>
        <w:t>Novatrans</w:t>
      </w:r>
      <w:proofErr w:type="spellEnd"/>
      <w:r>
        <w:rPr>
          <w:lang w:val="en-GB"/>
        </w:rPr>
        <w:t xml:space="preserve"> had fixed tariffs that were above the cost of providing the service plus a reasonable profit. </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43" w:name="__RefHeading__5337_1151380434"/>
      <w:bookmarkStart w:id="44" w:name="_Toc494177960"/>
      <w:bookmarkStart w:id="45" w:name="_Toc495652237"/>
      <w:bookmarkStart w:id="46" w:name="_Toc496702661"/>
      <w:bookmarkEnd w:id="43"/>
      <w:r w:rsidRPr="0046443F">
        <w:rPr>
          <w:rFonts w:ascii="Times New Roman" w:hAnsi="Times New Roman" w:cs="Times New Roman"/>
          <w:b/>
          <w:color w:val="auto"/>
          <w:sz w:val="24"/>
          <w:szCs w:val="24"/>
        </w:rPr>
        <w:t>Germany</w:t>
      </w:r>
      <w:bookmarkEnd w:id="44"/>
      <w:bookmarkEnd w:id="45"/>
      <w:bookmarkEnd w:id="46"/>
    </w:p>
    <w:tbl>
      <w:tblPr>
        <w:tblStyle w:val="Grilledutableau"/>
        <w:tblW w:w="9124" w:type="dxa"/>
        <w:jc w:val="center"/>
        <w:tblLook w:val="04A0" w:firstRow="1" w:lastRow="0" w:firstColumn="1" w:lastColumn="0" w:noHBand="0" w:noVBand="1"/>
      </w:tblPr>
      <w:tblGrid>
        <w:gridCol w:w="2268"/>
        <w:gridCol w:w="1842"/>
        <w:gridCol w:w="1671"/>
        <w:gridCol w:w="1670"/>
        <w:gridCol w:w="1673"/>
      </w:tblGrid>
      <w:tr w:rsidR="007C64B4" w:rsidRPr="00282239" w:rsidTr="007C64B4">
        <w:trPr>
          <w:jc w:val="center"/>
        </w:trPr>
        <w:tc>
          <w:tcPr>
            <w:tcW w:w="9124" w:type="dxa"/>
            <w:gridSpan w:val="5"/>
          </w:tcPr>
          <w:p w:rsidR="007C64B4" w:rsidRPr="00C745E9" w:rsidRDefault="007C64B4" w:rsidP="007C64B4">
            <w:pPr>
              <w:jc w:val="center"/>
              <w:rPr>
                <w:lang w:val="en-GB"/>
              </w:rPr>
            </w:pPr>
            <w:r>
              <w:rPr>
                <w:lang w:val="en-US"/>
              </w:rPr>
              <w:t>Service facilities in Germany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7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70" w:type="dxa"/>
          </w:tcPr>
          <w:p w:rsidR="007C64B4" w:rsidRPr="005508A1"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68" w:type="dxa"/>
          </w:tcPr>
          <w:p w:rsidR="007C64B4" w:rsidRPr="005508A1"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2" w:type="dxa"/>
          </w:tcPr>
          <w:p w:rsidR="007C64B4" w:rsidRPr="00FD4AEC" w:rsidRDefault="007C64B4" w:rsidP="007C64B4">
            <w:pPr>
              <w:jc w:val="center"/>
              <w:rPr>
                <w:sz w:val="22"/>
                <w:szCs w:val="22"/>
                <w:lang w:val="en-GB"/>
              </w:rPr>
            </w:pPr>
            <w:r w:rsidRPr="00FD4AEC">
              <w:rPr>
                <w:sz w:val="22"/>
                <w:szCs w:val="22"/>
                <w:lang w:val="en-GB"/>
              </w:rPr>
              <w:t>5.676</w:t>
            </w:r>
          </w:p>
        </w:tc>
        <w:tc>
          <w:tcPr>
            <w:tcW w:w="1671" w:type="dxa"/>
          </w:tcPr>
          <w:p w:rsidR="007C64B4" w:rsidRPr="00FD4AEC" w:rsidRDefault="007C64B4" w:rsidP="007C64B4">
            <w:pPr>
              <w:jc w:val="center"/>
              <w:rPr>
                <w:sz w:val="22"/>
                <w:szCs w:val="22"/>
                <w:lang w:val="en-GB"/>
              </w:rPr>
            </w:pPr>
            <w:r w:rsidRPr="00FD4AEC">
              <w:rPr>
                <w:sz w:val="22"/>
                <w:szCs w:val="22"/>
                <w:lang w:val="en-GB"/>
              </w:rPr>
              <w:t>228</w:t>
            </w:r>
          </w:p>
        </w:tc>
        <w:tc>
          <w:tcPr>
            <w:tcW w:w="1670" w:type="dxa"/>
          </w:tcPr>
          <w:p w:rsidR="007C64B4" w:rsidRPr="00FD4AEC" w:rsidRDefault="007C64B4" w:rsidP="007C64B4">
            <w:pPr>
              <w:jc w:val="center"/>
              <w:rPr>
                <w:sz w:val="22"/>
                <w:szCs w:val="22"/>
                <w:lang w:val="en-GB"/>
              </w:rPr>
            </w:pPr>
            <w:r w:rsidRPr="00FD4AEC">
              <w:rPr>
                <w:sz w:val="22"/>
                <w:szCs w:val="22"/>
                <w:lang w:val="en-GB"/>
              </w:rPr>
              <w:t>764</w:t>
            </w:r>
          </w:p>
        </w:tc>
        <w:tc>
          <w:tcPr>
            <w:tcW w:w="1668" w:type="dxa"/>
          </w:tcPr>
          <w:p w:rsidR="007C64B4" w:rsidRPr="00FD4AEC" w:rsidRDefault="007C64B4" w:rsidP="007C64B4">
            <w:pPr>
              <w:jc w:val="center"/>
              <w:rPr>
                <w:sz w:val="22"/>
                <w:szCs w:val="22"/>
                <w:lang w:val="en-GB"/>
              </w:rPr>
            </w:pPr>
            <w:r w:rsidRPr="00FD4AEC">
              <w:rPr>
                <w:sz w:val="22"/>
                <w:szCs w:val="22"/>
                <w:lang w:val="en-GB"/>
              </w:rPr>
              <w:t>5</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842" w:type="dxa"/>
            <w:vAlign w:val="bottom"/>
          </w:tcPr>
          <w:p w:rsidR="007C64B4" w:rsidRPr="00FD4AEC" w:rsidRDefault="007C64B4" w:rsidP="007C64B4">
            <w:pPr>
              <w:jc w:val="center"/>
              <w:rPr>
                <w:sz w:val="22"/>
                <w:szCs w:val="22"/>
                <w:lang w:val="en-GB"/>
              </w:rPr>
            </w:pPr>
            <w:r w:rsidRPr="00FD4AEC">
              <w:rPr>
                <w:sz w:val="22"/>
                <w:szCs w:val="22"/>
                <w:lang w:val="en-GB"/>
              </w:rPr>
              <w:t>51</w:t>
            </w:r>
          </w:p>
        </w:tc>
        <w:tc>
          <w:tcPr>
            <w:tcW w:w="1671" w:type="dxa"/>
            <w:vAlign w:val="bottom"/>
          </w:tcPr>
          <w:p w:rsidR="007C64B4" w:rsidRPr="00FD4AEC" w:rsidRDefault="007C64B4" w:rsidP="007C64B4">
            <w:pPr>
              <w:jc w:val="center"/>
              <w:rPr>
                <w:sz w:val="22"/>
                <w:szCs w:val="22"/>
                <w:lang w:val="en-GB"/>
              </w:rPr>
            </w:pPr>
            <w:r w:rsidRPr="00FD4AEC">
              <w:rPr>
                <w:sz w:val="22"/>
                <w:szCs w:val="22"/>
                <w:lang w:val="en-GB"/>
              </w:rPr>
              <w:t>3</w:t>
            </w:r>
          </w:p>
        </w:tc>
        <w:tc>
          <w:tcPr>
            <w:tcW w:w="1670" w:type="dxa"/>
            <w:vAlign w:val="bottom"/>
          </w:tcPr>
          <w:p w:rsidR="007C64B4" w:rsidRPr="00FD4AEC" w:rsidRDefault="007C64B4" w:rsidP="007C64B4">
            <w:pPr>
              <w:jc w:val="center"/>
              <w:rPr>
                <w:sz w:val="22"/>
                <w:szCs w:val="22"/>
                <w:lang w:val="en-GB"/>
              </w:rPr>
            </w:pPr>
            <w:r w:rsidRPr="00FD4AEC">
              <w:rPr>
                <w:sz w:val="22"/>
                <w:szCs w:val="22"/>
                <w:lang w:val="en-GB"/>
              </w:rPr>
              <w:t>10</w:t>
            </w:r>
          </w:p>
        </w:tc>
        <w:tc>
          <w:tcPr>
            <w:tcW w:w="1668" w:type="dxa"/>
            <w:vAlign w:val="bottom"/>
          </w:tcPr>
          <w:p w:rsidR="007C64B4" w:rsidRPr="00FD4AEC" w:rsidRDefault="007C64B4" w:rsidP="007C64B4">
            <w:pPr>
              <w:jc w:val="center"/>
              <w:rPr>
                <w:sz w:val="22"/>
                <w:szCs w:val="22"/>
                <w:lang w:val="en-GB"/>
              </w:rPr>
            </w:pPr>
            <w:r w:rsidRPr="00FD4AEC">
              <w:rPr>
                <w:sz w:val="22"/>
                <w:szCs w:val="22"/>
                <w:lang w:val="en-GB"/>
              </w:rPr>
              <w:t>58</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842" w:type="dxa"/>
          </w:tcPr>
          <w:p w:rsidR="007C64B4" w:rsidRPr="00FD4AEC" w:rsidRDefault="007C64B4" w:rsidP="007C64B4">
            <w:pPr>
              <w:jc w:val="center"/>
              <w:rPr>
                <w:sz w:val="22"/>
                <w:szCs w:val="22"/>
                <w:lang w:val="en-GB"/>
              </w:rPr>
            </w:pPr>
            <w:r w:rsidRPr="00FD4AEC">
              <w:rPr>
                <w:sz w:val="22"/>
                <w:szCs w:val="22"/>
                <w:lang w:val="en-GB"/>
              </w:rPr>
              <w:t>58</w:t>
            </w:r>
          </w:p>
        </w:tc>
        <w:tc>
          <w:tcPr>
            <w:tcW w:w="1671" w:type="dxa"/>
          </w:tcPr>
          <w:p w:rsidR="007C64B4" w:rsidRPr="00FD4AEC" w:rsidRDefault="007C64B4" w:rsidP="007C64B4">
            <w:pPr>
              <w:jc w:val="center"/>
              <w:rPr>
                <w:sz w:val="22"/>
                <w:szCs w:val="22"/>
                <w:lang w:val="en-GB"/>
              </w:rPr>
            </w:pPr>
            <w:r w:rsidRPr="00FD4AEC">
              <w:rPr>
                <w:sz w:val="22"/>
                <w:szCs w:val="22"/>
                <w:lang w:val="en-GB"/>
              </w:rPr>
              <w:t>1</w:t>
            </w:r>
          </w:p>
        </w:tc>
        <w:tc>
          <w:tcPr>
            <w:tcW w:w="1670" w:type="dxa"/>
          </w:tcPr>
          <w:p w:rsidR="007C64B4" w:rsidRPr="00FD4AEC" w:rsidRDefault="007C64B4" w:rsidP="007C64B4">
            <w:pPr>
              <w:jc w:val="center"/>
              <w:rPr>
                <w:sz w:val="22"/>
                <w:szCs w:val="22"/>
                <w:lang w:val="en-GB"/>
              </w:rPr>
            </w:pPr>
            <w:r w:rsidRPr="00FD4AEC">
              <w:rPr>
                <w:sz w:val="22"/>
                <w:szCs w:val="22"/>
                <w:lang w:val="en-GB"/>
              </w:rPr>
              <w:t>5</w:t>
            </w:r>
          </w:p>
        </w:tc>
        <w:tc>
          <w:tcPr>
            <w:tcW w:w="1668" w:type="dxa"/>
          </w:tcPr>
          <w:p w:rsidR="007C64B4" w:rsidRPr="00FD4AEC" w:rsidRDefault="007C64B4" w:rsidP="007C64B4">
            <w:pPr>
              <w:jc w:val="center"/>
              <w:rPr>
                <w:sz w:val="22"/>
                <w:szCs w:val="22"/>
                <w:lang w:val="en-GB"/>
              </w:rPr>
            </w:pPr>
            <w:r w:rsidRPr="00FD4AEC">
              <w:rPr>
                <w:sz w:val="22"/>
                <w:szCs w:val="22"/>
                <w:lang w:val="en-GB"/>
              </w:rPr>
              <w:t>2</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2" w:type="dxa"/>
          </w:tcPr>
          <w:p w:rsidR="007C64B4" w:rsidRPr="00FD4AEC" w:rsidRDefault="007C64B4" w:rsidP="007C64B4">
            <w:pPr>
              <w:jc w:val="center"/>
              <w:rPr>
                <w:sz w:val="22"/>
                <w:szCs w:val="22"/>
                <w:lang w:val="en-GB"/>
              </w:rPr>
            </w:pPr>
            <w:r w:rsidRPr="00FD4AEC">
              <w:rPr>
                <w:sz w:val="22"/>
                <w:szCs w:val="22"/>
                <w:lang w:val="en-GB"/>
              </w:rPr>
              <w:t>114</w:t>
            </w:r>
          </w:p>
        </w:tc>
        <w:tc>
          <w:tcPr>
            <w:tcW w:w="1671" w:type="dxa"/>
          </w:tcPr>
          <w:p w:rsidR="007C64B4" w:rsidRPr="00FD4AEC" w:rsidRDefault="007C64B4" w:rsidP="007C64B4">
            <w:pPr>
              <w:jc w:val="center"/>
              <w:rPr>
                <w:sz w:val="22"/>
                <w:szCs w:val="22"/>
                <w:lang w:val="en-GB"/>
              </w:rPr>
            </w:pPr>
            <w:r w:rsidRPr="00FD4AEC">
              <w:rPr>
                <w:sz w:val="22"/>
                <w:szCs w:val="22"/>
                <w:lang w:val="en-GB"/>
              </w:rPr>
              <w:t>10</w:t>
            </w:r>
          </w:p>
        </w:tc>
        <w:tc>
          <w:tcPr>
            <w:tcW w:w="1670" w:type="dxa"/>
          </w:tcPr>
          <w:p w:rsidR="007C64B4" w:rsidRPr="00FD4AEC" w:rsidRDefault="007C64B4" w:rsidP="007C64B4">
            <w:pPr>
              <w:jc w:val="center"/>
              <w:rPr>
                <w:sz w:val="22"/>
                <w:szCs w:val="22"/>
                <w:lang w:val="en-GB"/>
              </w:rPr>
            </w:pPr>
            <w:r w:rsidRPr="00FD4AEC">
              <w:rPr>
                <w:sz w:val="22"/>
                <w:szCs w:val="22"/>
                <w:lang w:val="en-GB"/>
              </w:rPr>
              <w:t>98</w:t>
            </w:r>
          </w:p>
        </w:tc>
        <w:tc>
          <w:tcPr>
            <w:tcW w:w="1668" w:type="dxa"/>
          </w:tcPr>
          <w:p w:rsidR="007C64B4" w:rsidRPr="00FD4AEC" w:rsidRDefault="007C64B4" w:rsidP="007C64B4">
            <w:pPr>
              <w:jc w:val="center"/>
              <w:rPr>
                <w:sz w:val="22"/>
                <w:szCs w:val="22"/>
                <w:lang w:val="en-GB"/>
              </w:rPr>
            </w:pPr>
            <w:r w:rsidRPr="00FD4AEC">
              <w:rPr>
                <w:sz w:val="22"/>
                <w:szCs w:val="22"/>
                <w:lang w:val="en-GB"/>
              </w:rPr>
              <w:t>58</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2" w:type="dxa"/>
          </w:tcPr>
          <w:p w:rsidR="007C64B4" w:rsidRPr="00FD4AEC" w:rsidRDefault="007C64B4" w:rsidP="007C64B4">
            <w:pPr>
              <w:jc w:val="center"/>
              <w:rPr>
                <w:sz w:val="22"/>
                <w:szCs w:val="22"/>
                <w:lang w:val="en-GB"/>
              </w:rPr>
            </w:pPr>
            <w:r w:rsidRPr="00FD4AEC">
              <w:rPr>
                <w:sz w:val="22"/>
                <w:szCs w:val="22"/>
                <w:lang w:val="en-GB"/>
              </w:rPr>
              <w:t>187</w:t>
            </w:r>
          </w:p>
        </w:tc>
        <w:tc>
          <w:tcPr>
            <w:tcW w:w="1671" w:type="dxa"/>
          </w:tcPr>
          <w:p w:rsidR="007C64B4" w:rsidRPr="00FD4AEC" w:rsidRDefault="007C64B4" w:rsidP="007C64B4">
            <w:pPr>
              <w:jc w:val="center"/>
              <w:rPr>
                <w:sz w:val="22"/>
                <w:szCs w:val="22"/>
                <w:lang w:val="en-GB"/>
              </w:rPr>
            </w:pPr>
            <w:r w:rsidRPr="00FD4AEC">
              <w:rPr>
                <w:sz w:val="22"/>
                <w:szCs w:val="22"/>
                <w:lang w:val="en-GB"/>
              </w:rPr>
              <w:t>9</w:t>
            </w:r>
          </w:p>
        </w:tc>
        <w:tc>
          <w:tcPr>
            <w:tcW w:w="1670" w:type="dxa"/>
          </w:tcPr>
          <w:p w:rsidR="007C64B4" w:rsidRPr="00FD4AEC" w:rsidRDefault="007C64B4" w:rsidP="007C64B4">
            <w:pPr>
              <w:jc w:val="center"/>
              <w:rPr>
                <w:sz w:val="22"/>
                <w:szCs w:val="22"/>
                <w:lang w:val="en-GB"/>
              </w:rPr>
            </w:pPr>
            <w:r w:rsidRPr="00FD4AEC">
              <w:rPr>
                <w:sz w:val="22"/>
                <w:szCs w:val="22"/>
                <w:lang w:val="en-GB"/>
              </w:rPr>
              <w:t>93</w:t>
            </w:r>
          </w:p>
        </w:tc>
        <w:tc>
          <w:tcPr>
            <w:tcW w:w="1668" w:type="dxa"/>
          </w:tcPr>
          <w:p w:rsidR="007C64B4" w:rsidRPr="00FD4AEC" w:rsidRDefault="007C64B4" w:rsidP="007C64B4">
            <w:pPr>
              <w:jc w:val="center"/>
              <w:rPr>
                <w:sz w:val="22"/>
                <w:szCs w:val="22"/>
                <w:lang w:val="en-GB"/>
              </w:rPr>
            </w:pPr>
            <w:r w:rsidRPr="00FD4AEC">
              <w:rPr>
                <w:sz w:val="22"/>
                <w:szCs w:val="22"/>
                <w:lang w:val="en-GB"/>
              </w:rPr>
              <w:t>30</w:t>
            </w:r>
          </w:p>
        </w:tc>
      </w:tr>
    </w:tbl>
    <w:p w:rsidR="007C64B4" w:rsidRPr="0027024B" w:rsidRDefault="007C64B4" w:rsidP="007C64B4">
      <w:pPr>
        <w:spacing w:line="360" w:lineRule="auto"/>
        <w:jc w:val="center"/>
        <w:rPr>
          <w:sz w:val="20"/>
          <w:lang w:val="en-GB"/>
        </w:rPr>
      </w:pPr>
      <w:r w:rsidRPr="00962306">
        <w:rPr>
          <w:sz w:val="20"/>
          <w:lang w:val="en-GB"/>
        </w:rPr>
        <w:t xml:space="preserve">Table </w:t>
      </w:r>
      <w:r w:rsidRPr="00096A00">
        <w:rPr>
          <w:sz w:val="20"/>
          <w:szCs w:val="20"/>
        </w:rPr>
        <w:fldChar w:fldCharType="begin"/>
      </w:r>
      <w:r w:rsidRPr="00096A00">
        <w:rPr>
          <w:sz w:val="20"/>
          <w:szCs w:val="20"/>
          <w:lang w:val="en-US"/>
        </w:rPr>
        <w:instrText xml:space="preserve"> SEQ Table \* ARABIC </w:instrText>
      </w:r>
      <w:r w:rsidRPr="00096A00">
        <w:rPr>
          <w:sz w:val="20"/>
          <w:szCs w:val="20"/>
        </w:rPr>
        <w:fldChar w:fldCharType="separate"/>
      </w:r>
      <w:r w:rsidR="0099201F">
        <w:rPr>
          <w:noProof/>
          <w:sz w:val="20"/>
          <w:szCs w:val="20"/>
          <w:lang w:val="en-US"/>
        </w:rPr>
        <w:t>16</w:t>
      </w:r>
      <w:r w:rsidRPr="00096A00">
        <w:rPr>
          <w:sz w:val="20"/>
          <w:szCs w:val="20"/>
        </w:rPr>
        <w:fldChar w:fldCharType="end"/>
      </w:r>
      <w:r w:rsidRPr="00096A00">
        <w:rPr>
          <w:sz w:val="20"/>
          <w:szCs w:val="20"/>
          <w:lang w:val="en-US"/>
        </w:rPr>
        <w:t>:</w:t>
      </w:r>
      <w:r w:rsidRPr="00A96026">
        <w:rPr>
          <w:sz w:val="20"/>
          <w:lang w:val="en-GB"/>
        </w:rPr>
        <w:t xml:space="preserve"> No of service facilities in </w:t>
      </w:r>
      <w:r w:rsidRPr="00334AA3">
        <w:rPr>
          <w:sz w:val="20"/>
          <w:lang w:val="en-GB"/>
        </w:rPr>
        <w:t>Germany according to the market monitoring survey</w:t>
      </w:r>
      <w:r w:rsidRPr="0006175C">
        <w:rPr>
          <w:sz w:val="20"/>
          <w:lang w:val="en-GB"/>
        </w:rPr>
        <w:t xml:space="preserve"> of IRG-Rail 2016</w:t>
      </w:r>
    </w:p>
    <w:p w:rsidR="007C64B4" w:rsidRPr="00CB3379" w:rsidRDefault="007C64B4" w:rsidP="007C64B4">
      <w:pPr>
        <w:jc w:val="both"/>
        <w:rPr>
          <w:lang w:val="en-US"/>
        </w:rPr>
      </w:pPr>
      <w:r w:rsidRPr="001A2327">
        <w:rPr>
          <w:lang w:val="en-US"/>
        </w:rPr>
        <w:t>The Federal Network Agency</w:t>
      </w:r>
      <w:r>
        <w:rPr>
          <w:lang w:val="en-US"/>
        </w:rPr>
        <w:t xml:space="preserve"> (</w:t>
      </w:r>
      <w:proofErr w:type="spellStart"/>
      <w:r>
        <w:rPr>
          <w:lang w:val="en-US"/>
        </w:rPr>
        <w:t>Bundesnetzagentur</w:t>
      </w:r>
      <w:proofErr w:type="spellEnd"/>
      <w:r>
        <w:rPr>
          <w:lang w:val="en-US"/>
        </w:rPr>
        <w:t xml:space="preserve">) </w:t>
      </w:r>
      <w:r w:rsidRPr="001A2327">
        <w:rPr>
          <w:lang w:val="en-US"/>
        </w:rPr>
        <w:t xml:space="preserve">approved charges of a </w:t>
      </w:r>
      <w:r>
        <w:rPr>
          <w:lang w:val="en-US"/>
        </w:rPr>
        <w:t>service facility operator</w:t>
      </w:r>
      <w:r w:rsidRPr="001A2327">
        <w:rPr>
          <w:lang w:val="en-US"/>
        </w:rPr>
        <w:t xml:space="preserve"> for the use of passenger stations by local and regional rail passenger services as well as by long-distance passenger services in 2018. The charges are to be used for orders in 2018. Until then, the charges are still billed according to the existing station pricing system.”</w:t>
      </w:r>
      <w:r>
        <w:rPr>
          <w:lang w:val="en-US"/>
        </w:rPr>
        <w:t xml:space="preserve"> </w:t>
      </w:r>
      <w:r w:rsidRPr="008B33B2">
        <w:rPr>
          <w:lang w:val="en-GB"/>
        </w:rPr>
        <w:t>(</w:t>
      </w:r>
      <w:r w:rsidRPr="00914E9E">
        <w:rPr>
          <w:lang w:val="en-GB"/>
        </w:rPr>
        <w:t>https://www.bundesnetzagentur.de/DE/Service-Funktionen/Beschlusskammern/Beschlusskammer10/BK10_11_Laufende_Verfahren/BK10_111_Entgeltregulierung/BK10_LV_Entgeltregulierung_node.html</w:t>
      </w:r>
      <w:r w:rsidRPr="008B33B2">
        <w:rPr>
          <w:lang w:val="en-GB"/>
        </w:rPr>
        <w:t xml:space="preserve">) </w:t>
      </w:r>
      <w:r>
        <w:rPr>
          <w:lang w:val="en-GB"/>
        </w:rPr>
        <w:t>(</w:t>
      </w:r>
      <w:proofErr w:type="gramStart"/>
      <w:r w:rsidRPr="008B33B2">
        <w:rPr>
          <w:lang w:val="en-GB"/>
        </w:rPr>
        <w:t>in</w:t>
      </w:r>
      <w:proofErr w:type="gramEnd"/>
      <w:r w:rsidRPr="008B33B2">
        <w:rPr>
          <w:lang w:val="en-GB"/>
        </w:rPr>
        <w:t xml:space="preserve"> German only</w:t>
      </w:r>
      <w:r>
        <w:rPr>
          <w:lang w:val="en-GB"/>
        </w:rPr>
        <w:t>.)</w:t>
      </w:r>
    </w:p>
    <w:p w:rsidR="00CF43EF" w:rsidRPr="00CF43EF" w:rsidRDefault="00CF43EF" w:rsidP="007C64B4">
      <w:pPr>
        <w:pStyle w:val="Titre1"/>
        <w:spacing w:line="360" w:lineRule="auto"/>
        <w:ind w:left="709"/>
        <w:rPr>
          <w:rFonts w:ascii="Times New Roman" w:hAnsi="Times New Roman" w:cs="Times New Roman"/>
          <w:b/>
          <w:color w:val="auto"/>
          <w:sz w:val="24"/>
          <w:szCs w:val="24"/>
          <w:lang w:val="en-US"/>
        </w:rPr>
      </w:pPr>
      <w:bookmarkStart w:id="47" w:name="_Toc496702662"/>
      <w:r w:rsidRPr="00CF43EF">
        <w:rPr>
          <w:rFonts w:ascii="Times New Roman" w:hAnsi="Times New Roman" w:cs="Times New Roman"/>
          <w:b/>
          <w:color w:val="auto"/>
          <w:sz w:val="24"/>
          <w:szCs w:val="24"/>
          <w:lang w:val="en-US"/>
        </w:rPr>
        <w:t>Greece</w:t>
      </w:r>
      <w:bookmarkEnd w:id="47"/>
    </w:p>
    <w:p w:rsidR="00CF43EF" w:rsidRPr="00CF43EF" w:rsidRDefault="00CF43EF" w:rsidP="00CF43EF">
      <w:pPr>
        <w:rPr>
          <w:lang w:val="en-US"/>
        </w:rPr>
      </w:pPr>
      <w:r w:rsidRPr="00CF43EF">
        <w:rPr>
          <w:lang w:val="en-US"/>
        </w:rPr>
        <w:t xml:space="preserve">There </w:t>
      </w:r>
      <w:r>
        <w:rPr>
          <w:lang w:val="en-US"/>
        </w:rPr>
        <w:t>is</w:t>
      </w:r>
      <w:r w:rsidRPr="00CF43EF">
        <w:rPr>
          <w:lang w:val="en-US"/>
        </w:rPr>
        <w:t xml:space="preserve"> information availab</w:t>
      </w:r>
      <w:r>
        <w:rPr>
          <w:lang w:val="en-US"/>
        </w:rPr>
        <w:t>l</w:t>
      </w:r>
      <w:r w:rsidRPr="00CF43EF">
        <w:rPr>
          <w:lang w:val="en-US"/>
        </w:rPr>
        <w:t>e at the mom</w:t>
      </w:r>
      <w:r>
        <w:rPr>
          <w:lang w:val="en-US"/>
        </w:rPr>
        <w:t>ent on service facilities in Greece.</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48" w:name="_Toc496702663"/>
      <w:proofErr w:type="spellStart"/>
      <w:r w:rsidRPr="0046443F">
        <w:rPr>
          <w:rFonts w:ascii="Times New Roman" w:hAnsi="Times New Roman" w:cs="Times New Roman"/>
          <w:b/>
          <w:color w:val="auto"/>
          <w:sz w:val="24"/>
          <w:szCs w:val="24"/>
        </w:rPr>
        <w:t>Italy</w:t>
      </w:r>
      <w:bookmarkEnd w:id="48"/>
      <w:proofErr w:type="spellEnd"/>
    </w:p>
    <w:tbl>
      <w:tblPr>
        <w:tblStyle w:val="Grilledutableau"/>
        <w:tblW w:w="9124" w:type="dxa"/>
        <w:jc w:val="center"/>
        <w:tblLook w:val="04A0" w:firstRow="1" w:lastRow="0" w:firstColumn="1" w:lastColumn="0" w:noHBand="0" w:noVBand="1"/>
      </w:tblPr>
      <w:tblGrid>
        <w:gridCol w:w="2268"/>
        <w:gridCol w:w="1842"/>
        <w:gridCol w:w="1671"/>
        <w:gridCol w:w="1670"/>
        <w:gridCol w:w="1673"/>
      </w:tblGrid>
      <w:tr w:rsidR="005942A1" w:rsidRPr="00282239" w:rsidTr="009B4A9D">
        <w:trPr>
          <w:jc w:val="center"/>
        </w:trPr>
        <w:tc>
          <w:tcPr>
            <w:tcW w:w="9124" w:type="dxa"/>
            <w:gridSpan w:val="5"/>
          </w:tcPr>
          <w:p w:rsidR="005942A1" w:rsidRPr="00C745E9" w:rsidRDefault="005942A1" w:rsidP="009B4A9D">
            <w:pPr>
              <w:jc w:val="center"/>
              <w:rPr>
                <w:lang w:val="en-GB"/>
              </w:rPr>
            </w:pPr>
            <w:bookmarkStart w:id="49" w:name="__RefHeading__5339_1151380434"/>
            <w:bookmarkStart w:id="50" w:name="_Toc494177961"/>
            <w:bookmarkStart w:id="51" w:name="_Toc495652238"/>
            <w:bookmarkEnd w:id="49"/>
            <w:r>
              <w:rPr>
                <w:lang w:val="en-US"/>
              </w:rPr>
              <w:t>Service facilities in Italy in 2015</w:t>
            </w:r>
          </w:p>
        </w:tc>
      </w:tr>
      <w:tr w:rsidR="005942A1" w:rsidRPr="00282239" w:rsidTr="009B4A9D">
        <w:trPr>
          <w:jc w:val="center"/>
        </w:trPr>
        <w:tc>
          <w:tcPr>
            <w:tcW w:w="2268" w:type="dxa"/>
          </w:tcPr>
          <w:p w:rsidR="005942A1" w:rsidRPr="00E9349B" w:rsidRDefault="005942A1" w:rsidP="009B4A9D">
            <w:pPr>
              <w:rPr>
                <w:lang w:val="en-US"/>
              </w:rPr>
            </w:pPr>
          </w:p>
        </w:tc>
        <w:tc>
          <w:tcPr>
            <w:tcW w:w="1842" w:type="dxa"/>
          </w:tcPr>
          <w:p w:rsidR="005942A1" w:rsidRPr="00C745E9" w:rsidRDefault="005942A1" w:rsidP="009B4A9D">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71" w:type="dxa"/>
          </w:tcPr>
          <w:p w:rsidR="005942A1" w:rsidRPr="00C745E9" w:rsidRDefault="005942A1" w:rsidP="009B4A9D">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70" w:type="dxa"/>
          </w:tcPr>
          <w:p w:rsidR="005942A1" w:rsidRPr="005508A1" w:rsidRDefault="005942A1" w:rsidP="009B4A9D">
            <w:pPr>
              <w:jc w:val="center"/>
              <w:rPr>
                <w:sz w:val="22"/>
                <w:lang w:val="en-GB"/>
              </w:rPr>
            </w:pPr>
            <w:r w:rsidRPr="00C745E9">
              <w:rPr>
                <w:sz w:val="22"/>
                <w:szCs w:val="22"/>
                <w:lang w:val="en-GB"/>
              </w:rPr>
              <w:t>Other RU</w:t>
            </w:r>
          </w:p>
          <w:p w:rsidR="005942A1" w:rsidRPr="00C745E9" w:rsidRDefault="005942A1" w:rsidP="009B4A9D">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73" w:type="dxa"/>
          </w:tcPr>
          <w:p w:rsidR="005942A1" w:rsidRPr="005508A1" w:rsidRDefault="005942A1" w:rsidP="009B4A9D">
            <w:pPr>
              <w:jc w:val="center"/>
              <w:rPr>
                <w:sz w:val="22"/>
                <w:lang w:val="en-GB"/>
              </w:rPr>
            </w:pPr>
            <w:r w:rsidRPr="00C745E9">
              <w:rPr>
                <w:sz w:val="22"/>
                <w:szCs w:val="22"/>
                <w:lang w:val="en-GB"/>
              </w:rPr>
              <w:t>Non- RU</w:t>
            </w:r>
          </w:p>
          <w:p w:rsidR="005942A1" w:rsidRPr="00C745E9" w:rsidRDefault="005942A1" w:rsidP="009B4A9D">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5942A1" w:rsidRPr="00FD4AEC" w:rsidTr="009B4A9D">
        <w:trPr>
          <w:jc w:val="center"/>
        </w:trPr>
        <w:tc>
          <w:tcPr>
            <w:tcW w:w="2268" w:type="dxa"/>
          </w:tcPr>
          <w:p w:rsidR="005942A1" w:rsidRPr="00FD4AEC" w:rsidRDefault="005942A1" w:rsidP="009B4A9D">
            <w:pPr>
              <w:rPr>
                <w:sz w:val="22"/>
                <w:szCs w:val="22"/>
                <w:lang w:val="en-GB"/>
              </w:rPr>
            </w:pPr>
            <w:r w:rsidRPr="00FD4AEC">
              <w:rPr>
                <w:sz w:val="22"/>
                <w:szCs w:val="22"/>
                <w:lang w:val="en-GB"/>
              </w:rPr>
              <w:t>Passenger stations</w:t>
            </w:r>
          </w:p>
        </w:tc>
        <w:tc>
          <w:tcPr>
            <w:tcW w:w="1842" w:type="dxa"/>
          </w:tcPr>
          <w:p w:rsidR="005942A1" w:rsidRPr="00FD4AEC" w:rsidRDefault="00786114" w:rsidP="00786114">
            <w:pPr>
              <w:jc w:val="center"/>
              <w:rPr>
                <w:sz w:val="22"/>
                <w:szCs w:val="22"/>
                <w:lang w:val="en-GB"/>
              </w:rPr>
            </w:pPr>
            <w:r>
              <w:rPr>
                <w:sz w:val="22"/>
                <w:szCs w:val="22"/>
                <w:lang w:val="en-GB"/>
              </w:rPr>
              <w:t>2082</w:t>
            </w:r>
          </w:p>
        </w:tc>
        <w:tc>
          <w:tcPr>
            <w:tcW w:w="1671" w:type="dxa"/>
          </w:tcPr>
          <w:p w:rsidR="005942A1" w:rsidRPr="00FD4AEC" w:rsidRDefault="00786114" w:rsidP="009B4A9D">
            <w:pPr>
              <w:jc w:val="center"/>
              <w:rPr>
                <w:sz w:val="22"/>
                <w:szCs w:val="22"/>
                <w:lang w:val="en-GB"/>
              </w:rPr>
            </w:pPr>
            <w:r>
              <w:rPr>
                <w:sz w:val="22"/>
                <w:szCs w:val="22"/>
                <w:lang w:val="en-GB"/>
              </w:rPr>
              <w:t>352</w:t>
            </w:r>
          </w:p>
        </w:tc>
        <w:tc>
          <w:tcPr>
            <w:tcW w:w="1670" w:type="dxa"/>
          </w:tcPr>
          <w:p w:rsidR="005942A1" w:rsidRPr="00FD4AEC" w:rsidRDefault="005942A1" w:rsidP="009B4A9D">
            <w:pPr>
              <w:jc w:val="center"/>
              <w:rPr>
                <w:sz w:val="22"/>
                <w:szCs w:val="22"/>
                <w:lang w:val="en-GB"/>
              </w:rPr>
            </w:pPr>
            <w:r w:rsidRPr="00FD4AEC">
              <w:rPr>
                <w:sz w:val="22"/>
                <w:szCs w:val="22"/>
                <w:lang w:val="en-GB"/>
              </w:rPr>
              <w:t>94</w:t>
            </w:r>
          </w:p>
        </w:tc>
        <w:tc>
          <w:tcPr>
            <w:tcW w:w="1673" w:type="dxa"/>
          </w:tcPr>
          <w:p w:rsidR="005942A1" w:rsidRPr="00FD4AEC" w:rsidRDefault="00786114" w:rsidP="009B4A9D">
            <w:pPr>
              <w:jc w:val="center"/>
              <w:rPr>
                <w:sz w:val="22"/>
                <w:szCs w:val="22"/>
                <w:lang w:val="en-GB"/>
              </w:rPr>
            </w:pPr>
            <w:r>
              <w:rPr>
                <w:sz w:val="22"/>
                <w:szCs w:val="22"/>
                <w:lang w:val="en-GB"/>
              </w:rPr>
              <w:t>48</w:t>
            </w:r>
          </w:p>
        </w:tc>
      </w:tr>
      <w:tr w:rsidR="005942A1" w:rsidRPr="00FD4AEC" w:rsidTr="009B4A9D">
        <w:trPr>
          <w:jc w:val="center"/>
        </w:trPr>
        <w:tc>
          <w:tcPr>
            <w:tcW w:w="2268" w:type="dxa"/>
          </w:tcPr>
          <w:p w:rsidR="005942A1" w:rsidRPr="00FD4AEC" w:rsidRDefault="005942A1" w:rsidP="009B4A9D">
            <w:pPr>
              <w:rPr>
                <w:sz w:val="22"/>
                <w:szCs w:val="22"/>
                <w:lang w:val="en-GB"/>
              </w:rPr>
            </w:pPr>
            <w:r w:rsidRPr="00FD4AEC">
              <w:rPr>
                <w:sz w:val="22"/>
                <w:szCs w:val="22"/>
                <w:lang w:val="en-GB"/>
              </w:rPr>
              <w:t>Intermodal freight terminals</w:t>
            </w:r>
          </w:p>
        </w:tc>
        <w:tc>
          <w:tcPr>
            <w:tcW w:w="1842" w:type="dxa"/>
            <w:vAlign w:val="bottom"/>
          </w:tcPr>
          <w:p w:rsidR="005942A1" w:rsidRPr="00FD4AEC" w:rsidRDefault="00786114" w:rsidP="009B4A9D">
            <w:pPr>
              <w:jc w:val="center"/>
              <w:rPr>
                <w:sz w:val="22"/>
                <w:szCs w:val="22"/>
                <w:lang w:val="en-GB"/>
              </w:rPr>
            </w:pPr>
            <w:r>
              <w:rPr>
                <w:sz w:val="22"/>
                <w:szCs w:val="22"/>
                <w:lang w:val="en-GB"/>
              </w:rPr>
              <w:t>24</w:t>
            </w:r>
          </w:p>
        </w:tc>
        <w:tc>
          <w:tcPr>
            <w:tcW w:w="1671" w:type="dxa"/>
            <w:vAlign w:val="bottom"/>
          </w:tcPr>
          <w:p w:rsidR="005942A1" w:rsidRPr="00FD4AEC" w:rsidRDefault="00786114" w:rsidP="009B4A9D">
            <w:pPr>
              <w:jc w:val="center"/>
              <w:rPr>
                <w:sz w:val="22"/>
                <w:szCs w:val="22"/>
                <w:lang w:val="en-GB"/>
              </w:rPr>
            </w:pPr>
            <w:r>
              <w:rPr>
                <w:sz w:val="22"/>
                <w:szCs w:val="22"/>
                <w:lang w:val="en-GB"/>
              </w:rPr>
              <w:t>0</w:t>
            </w:r>
          </w:p>
        </w:tc>
        <w:tc>
          <w:tcPr>
            <w:tcW w:w="1670" w:type="dxa"/>
            <w:vAlign w:val="bottom"/>
          </w:tcPr>
          <w:p w:rsidR="005942A1" w:rsidRPr="00FD4AEC" w:rsidRDefault="005942A1" w:rsidP="009B4A9D">
            <w:pPr>
              <w:jc w:val="center"/>
              <w:rPr>
                <w:sz w:val="22"/>
                <w:szCs w:val="22"/>
                <w:lang w:val="en-GB"/>
              </w:rPr>
            </w:pPr>
            <w:r w:rsidRPr="00FD4AEC">
              <w:rPr>
                <w:sz w:val="22"/>
                <w:szCs w:val="22"/>
                <w:lang w:val="en-GB"/>
              </w:rPr>
              <w:t>0</w:t>
            </w:r>
          </w:p>
        </w:tc>
        <w:tc>
          <w:tcPr>
            <w:tcW w:w="1673" w:type="dxa"/>
            <w:vAlign w:val="bottom"/>
          </w:tcPr>
          <w:p w:rsidR="005942A1" w:rsidRPr="00FD4AEC" w:rsidRDefault="00786114" w:rsidP="009B4A9D">
            <w:pPr>
              <w:jc w:val="center"/>
              <w:rPr>
                <w:sz w:val="22"/>
                <w:szCs w:val="22"/>
                <w:lang w:val="en-GB"/>
              </w:rPr>
            </w:pPr>
            <w:r>
              <w:rPr>
                <w:sz w:val="22"/>
                <w:szCs w:val="22"/>
                <w:lang w:val="en-GB"/>
              </w:rPr>
              <w:t>208</w:t>
            </w:r>
          </w:p>
        </w:tc>
      </w:tr>
      <w:tr w:rsidR="005942A1" w:rsidRPr="00FD4AEC" w:rsidTr="009B4A9D">
        <w:trPr>
          <w:jc w:val="center"/>
        </w:trPr>
        <w:tc>
          <w:tcPr>
            <w:tcW w:w="2268" w:type="dxa"/>
          </w:tcPr>
          <w:p w:rsidR="005942A1" w:rsidRPr="00FD4AEC" w:rsidRDefault="005942A1" w:rsidP="009B4A9D">
            <w:pPr>
              <w:rPr>
                <w:sz w:val="22"/>
                <w:szCs w:val="22"/>
                <w:lang w:val="en-GB"/>
              </w:rPr>
            </w:pPr>
            <w:r w:rsidRPr="00FD4AEC">
              <w:rPr>
                <w:sz w:val="22"/>
                <w:szCs w:val="22"/>
                <w:lang w:val="en-GB"/>
              </w:rPr>
              <w:t>Marshalling yards with gravity hills</w:t>
            </w:r>
          </w:p>
        </w:tc>
        <w:tc>
          <w:tcPr>
            <w:tcW w:w="1842" w:type="dxa"/>
          </w:tcPr>
          <w:p w:rsidR="005942A1" w:rsidRPr="00FD4AEC" w:rsidRDefault="005942A1" w:rsidP="009B4A9D">
            <w:pPr>
              <w:jc w:val="center"/>
              <w:rPr>
                <w:sz w:val="22"/>
                <w:szCs w:val="22"/>
                <w:lang w:val="en-GB"/>
              </w:rPr>
            </w:pPr>
            <w:r w:rsidRPr="00FD4AEC">
              <w:rPr>
                <w:sz w:val="22"/>
                <w:szCs w:val="22"/>
                <w:lang w:val="en-GB"/>
              </w:rPr>
              <w:t>0</w:t>
            </w:r>
          </w:p>
        </w:tc>
        <w:tc>
          <w:tcPr>
            <w:tcW w:w="1671" w:type="dxa"/>
          </w:tcPr>
          <w:p w:rsidR="005942A1" w:rsidRPr="00FD4AEC" w:rsidRDefault="005942A1" w:rsidP="009B4A9D">
            <w:pPr>
              <w:jc w:val="center"/>
              <w:rPr>
                <w:sz w:val="22"/>
                <w:szCs w:val="22"/>
                <w:lang w:val="en-GB"/>
              </w:rPr>
            </w:pPr>
            <w:r w:rsidRPr="00FD4AEC">
              <w:rPr>
                <w:sz w:val="22"/>
                <w:szCs w:val="22"/>
                <w:lang w:val="en-GB"/>
              </w:rPr>
              <w:t>0</w:t>
            </w:r>
          </w:p>
        </w:tc>
        <w:tc>
          <w:tcPr>
            <w:tcW w:w="1670" w:type="dxa"/>
          </w:tcPr>
          <w:p w:rsidR="005942A1" w:rsidRPr="00FD4AEC" w:rsidRDefault="005942A1" w:rsidP="009B4A9D">
            <w:pPr>
              <w:jc w:val="center"/>
              <w:rPr>
                <w:sz w:val="22"/>
                <w:szCs w:val="22"/>
                <w:lang w:val="en-GB"/>
              </w:rPr>
            </w:pPr>
            <w:r w:rsidRPr="00FD4AEC">
              <w:rPr>
                <w:sz w:val="22"/>
                <w:szCs w:val="22"/>
                <w:lang w:val="en-GB"/>
              </w:rPr>
              <w:t>0</w:t>
            </w:r>
          </w:p>
        </w:tc>
        <w:tc>
          <w:tcPr>
            <w:tcW w:w="1673" w:type="dxa"/>
          </w:tcPr>
          <w:p w:rsidR="005942A1" w:rsidRPr="00FD4AEC" w:rsidRDefault="00786114" w:rsidP="009B4A9D">
            <w:pPr>
              <w:jc w:val="center"/>
              <w:rPr>
                <w:sz w:val="22"/>
                <w:szCs w:val="22"/>
                <w:lang w:val="en-GB"/>
              </w:rPr>
            </w:pPr>
            <w:r>
              <w:rPr>
                <w:sz w:val="22"/>
                <w:szCs w:val="22"/>
                <w:lang w:val="en-GB"/>
              </w:rPr>
              <w:t>0</w:t>
            </w:r>
          </w:p>
        </w:tc>
      </w:tr>
      <w:tr w:rsidR="005942A1" w:rsidRPr="00FD4AEC" w:rsidTr="009B4A9D">
        <w:trPr>
          <w:jc w:val="center"/>
        </w:trPr>
        <w:tc>
          <w:tcPr>
            <w:tcW w:w="2268" w:type="dxa"/>
          </w:tcPr>
          <w:p w:rsidR="005942A1" w:rsidRPr="00FD4AEC" w:rsidRDefault="005942A1" w:rsidP="009B4A9D">
            <w:pPr>
              <w:rPr>
                <w:sz w:val="22"/>
                <w:szCs w:val="22"/>
                <w:lang w:val="en-GB"/>
              </w:rPr>
            </w:pPr>
            <w:r w:rsidRPr="00FD4AEC">
              <w:rPr>
                <w:sz w:val="22"/>
                <w:szCs w:val="22"/>
                <w:lang w:val="en-GB"/>
              </w:rPr>
              <w:t>Maintenance facilities</w:t>
            </w:r>
          </w:p>
        </w:tc>
        <w:tc>
          <w:tcPr>
            <w:tcW w:w="1842" w:type="dxa"/>
          </w:tcPr>
          <w:p w:rsidR="005942A1" w:rsidRPr="00FD4AEC" w:rsidRDefault="00786114" w:rsidP="009B4A9D">
            <w:pPr>
              <w:jc w:val="center"/>
              <w:rPr>
                <w:sz w:val="22"/>
                <w:szCs w:val="22"/>
                <w:lang w:val="en-GB"/>
              </w:rPr>
            </w:pPr>
            <w:r>
              <w:rPr>
                <w:sz w:val="22"/>
                <w:szCs w:val="22"/>
                <w:lang w:val="en-GB"/>
              </w:rPr>
              <w:t>63</w:t>
            </w:r>
          </w:p>
        </w:tc>
        <w:tc>
          <w:tcPr>
            <w:tcW w:w="1671" w:type="dxa"/>
          </w:tcPr>
          <w:p w:rsidR="005942A1" w:rsidRPr="00FD4AEC" w:rsidRDefault="00786114" w:rsidP="009B4A9D">
            <w:pPr>
              <w:jc w:val="center"/>
              <w:rPr>
                <w:sz w:val="22"/>
                <w:szCs w:val="22"/>
                <w:lang w:val="en-GB"/>
              </w:rPr>
            </w:pPr>
            <w:r>
              <w:rPr>
                <w:sz w:val="22"/>
                <w:szCs w:val="22"/>
                <w:lang w:val="en-GB"/>
              </w:rPr>
              <w:t>27</w:t>
            </w:r>
          </w:p>
        </w:tc>
        <w:tc>
          <w:tcPr>
            <w:tcW w:w="1670" w:type="dxa"/>
          </w:tcPr>
          <w:p w:rsidR="005942A1" w:rsidRPr="00FD4AEC" w:rsidRDefault="005942A1" w:rsidP="009B4A9D">
            <w:pPr>
              <w:jc w:val="center"/>
              <w:rPr>
                <w:sz w:val="22"/>
                <w:szCs w:val="22"/>
                <w:lang w:val="en-GB"/>
              </w:rPr>
            </w:pPr>
            <w:r w:rsidRPr="00FD4AEC">
              <w:rPr>
                <w:sz w:val="22"/>
                <w:szCs w:val="22"/>
                <w:lang w:val="en-GB"/>
              </w:rPr>
              <w:t>2</w:t>
            </w:r>
          </w:p>
        </w:tc>
        <w:tc>
          <w:tcPr>
            <w:tcW w:w="1673" w:type="dxa"/>
          </w:tcPr>
          <w:p w:rsidR="005942A1" w:rsidRPr="00FD4AEC" w:rsidRDefault="00786114" w:rsidP="009B4A9D">
            <w:pPr>
              <w:jc w:val="center"/>
              <w:rPr>
                <w:sz w:val="22"/>
                <w:szCs w:val="22"/>
                <w:lang w:val="en-GB"/>
              </w:rPr>
            </w:pPr>
            <w:r>
              <w:rPr>
                <w:sz w:val="22"/>
                <w:szCs w:val="22"/>
                <w:lang w:val="en-GB"/>
              </w:rPr>
              <w:t>147</w:t>
            </w:r>
          </w:p>
        </w:tc>
      </w:tr>
      <w:tr w:rsidR="005942A1" w:rsidRPr="00FD4AEC" w:rsidTr="009B4A9D">
        <w:trPr>
          <w:jc w:val="center"/>
        </w:trPr>
        <w:tc>
          <w:tcPr>
            <w:tcW w:w="2268" w:type="dxa"/>
          </w:tcPr>
          <w:p w:rsidR="005942A1" w:rsidRPr="00FD4AEC" w:rsidRDefault="005942A1" w:rsidP="009B4A9D">
            <w:pPr>
              <w:rPr>
                <w:sz w:val="22"/>
                <w:szCs w:val="22"/>
                <w:lang w:val="en-GB"/>
              </w:rPr>
            </w:pPr>
            <w:r w:rsidRPr="00FD4AEC">
              <w:rPr>
                <w:sz w:val="22"/>
                <w:szCs w:val="22"/>
                <w:lang w:val="en-GB"/>
              </w:rPr>
              <w:t>Refuelling facilities</w:t>
            </w:r>
          </w:p>
        </w:tc>
        <w:tc>
          <w:tcPr>
            <w:tcW w:w="1842" w:type="dxa"/>
          </w:tcPr>
          <w:p w:rsidR="005942A1" w:rsidRPr="00FD4AEC" w:rsidRDefault="00786114" w:rsidP="009B4A9D">
            <w:pPr>
              <w:jc w:val="center"/>
              <w:rPr>
                <w:sz w:val="22"/>
                <w:szCs w:val="22"/>
                <w:lang w:val="en-GB"/>
              </w:rPr>
            </w:pPr>
            <w:r>
              <w:rPr>
                <w:sz w:val="22"/>
                <w:szCs w:val="22"/>
                <w:lang w:val="en-GB"/>
              </w:rPr>
              <w:t>146</w:t>
            </w:r>
          </w:p>
        </w:tc>
        <w:tc>
          <w:tcPr>
            <w:tcW w:w="1671" w:type="dxa"/>
          </w:tcPr>
          <w:p w:rsidR="005942A1" w:rsidRPr="00FD4AEC" w:rsidRDefault="00786114" w:rsidP="009B4A9D">
            <w:pPr>
              <w:jc w:val="center"/>
              <w:rPr>
                <w:sz w:val="22"/>
                <w:szCs w:val="22"/>
                <w:lang w:val="en-GB"/>
              </w:rPr>
            </w:pPr>
            <w:r>
              <w:rPr>
                <w:sz w:val="22"/>
                <w:szCs w:val="22"/>
                <w:lang w:val="en-GB"/>
              </w:rPr>
              <w:t>14</w:t>
            </w:r>
          </w:p>
        </w:tc>
        <w:tc>
          <w:tcPr>
            <w:tcW w:w="1670" w:type="dxa"/>
          </w:tcPr>
          <w:p w:rsidR="005942A1" w:rsidRPr="00FD4AEC" w:rsidRDefault="00786114" w:rsidP="009B4A9D">
            <w:pPr>
              <w:jc w:val="center"/>
              <w:rPr>
                <w:sz w:val="22"/>
                <w:szCs w:val="22"/>
                <w:lang w:val="en-GB"/>
              </w:rPr>
            </w:pPr>
            <w:r>
              <w:rPr>
                <w:sz w:val="22"/>
                <w:szCs w:val="22"/>
                <w:lang w:val="en-GB"/>
              </w:rPr>
              <w:t>4</w:t>
            </w:r>
          </w:p>
        </w:tc>
        <w:tc>
          <w:tcPr>
            <w:tcW w:w="1673" w:type="dxa"/>
          </w:tcPr>
          <w:p w:rsidR="005942A1" w:rsidRPr="00FD4AEC" w:rsidRDefault="00C7203B" w:rsidP="009B4A9D">
            <w:pPr>
              <w:jc w:val="center"/>
              <w:rPr>
                <w:sz w:val="22"/>
                <w:szCs w:val="22"/>
                <w:lang w:val="en-GB"/>
              </w:rPr>
            </w:pPr>
            <w:r>
              <w:rPr>
                <w:sz w:val="22"/>
                <w:szCs w:val="22"/>
                <w:lang w:val="en-GB"/>
              </w:rPr>
              <w:t>4</w:t>
            </w:r>
          </w:p>
        </w:tc>
      </w:tr>
    </w:tbl>
    <w:p w:rsidR="005942A1" w:rsidRPr="0027024B" w:rsidRDefault="005942A1" w:rsidP="005942A1">
      <w:pPr>
        <w:jc w:val="center"/>
        <w:rPr>
          <w:sz w:val="20"/>
          <w:lang w:val="en-GB"/>
        </w:rPr>
      </w:pPr>
      <w:r w:rsidRPr="00962306">
        <w:rPr>
          <w:sz w:val="20"/>
          <w:lang w:val="en-GB"/>
        </w:rPr>
        <w:t xml:space="preserve">Table </w:t>
      </w:r>
      <w:r w:rsidRPr="00096A00">
        <w:rPr>
          <w:sz w:val="20"/>
          <w:szCs w:val="20"/>
        </w:rPr>
        <w:fldChar w:fldCharType="begin"/>
      </w:r>
      <w:r w:rsidRPr="00096A00">
        <w:rPr>
          <w:sz w:val="20"/>
          <w:szCs w:val="20"/>
          <w:lang w:val="en-US"/>
        </w:rPr>
        <w:instrText xml:space="preserve"> SEQ Table \* ARABIC </w:instrText>
      </w:r>
      <w:r w:rsidRPr="00096A00">
        <w:rPr>
          <w:sz w:val="20"/>
          <w:szCs w:val="20"/>
        </w:rPr>
        <w:fldChar w:fldCharType="separate"/>
      </w:r>
      <w:r w:rsidR="0099201F">
        <w:rPr>
          <w:noProof/>
          <w:sz w:val="20"/>
          <w:szCs w:val="20"/>
          <w:lang w:val="en-US"/>
        </w:rPr>
        <w:t>17</w:t>
      </w:r>
      <w:r w:rsidRPr="00096A00">
        <w:rPr>
          <w:sz w:val="20"/>
          <w:szCs w:val="20"/>
        </w:rPr>
        <w:fldChar w:fldCharType="end"/>
      </w:r>
      <w:r w:rsidRPr="00096A00">
        <w:rPr>
          <w:sz w:val="20"/>
          <w:szCs w:val="20"/>
          <w:lang w:val="en-US"/>
        </w:rPr>
        <w:t>:</w:t>
      </w:r>
      <w:r w:rsidRPr="00A96026">
        <w:rPr>
          <w:sz w:val="20"/>
          <w:lang w:val="en-GB"/>
        </w:rPr>
        <w:t xml:space="preserve"> No of service facilities in</w:t>
      </w:r>
      <w:r w:rsidRPr="00962306">
        <w:rPr>
          <w:sz w:val="20"/>
          <w:lang w:val="en-GB"/>
        </w:rPr>
        <w:t xml:space="preserve"> </w:t>
      </w:r>
      <w:r w:rsidRPr="00962306">
        <w:rPr>
          <w:sz w:val="20"/>
          <w:szCs w:val="20"/>
          <w:lang w:val="en-GB"/>
        </w:rPr>
        <w:t>Italy</w:t>
      </w:r>
      <w:r w:rsidRPr="00962306">
        <w:rPr>
          <w:sz w:val="20"/>
          <w:lang w:val="en-GB"/>
        </w:rPr>
        <w:t xml:space="preserve"> </w:t>
      </w:r>
      <w:r w:rsidRPr="00334AA3">
        <w:rPr>
          <w:sz w:val="20"/>
          <w:lang w:val="en-GB"/>
        </w:rPr>
        <w:t xml:space="preserve">according to </w:t>
      </w:r>
      <w:r>
        <w:rPr>
          <w:sz w:val="20"/>
          <w:lang w:val="en-GB"/>
        </w:rPr>
        <w:t>data provided within the 2016 RMMS data collection</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52" w:name="_Toc496702664"/>
      <w:r w:rsidRPr="0046443F">
        <w:rPr>
          <w:rFonts w:ascii="Times New Roman" w:hAnsi="Times New Roman" w:cs="Times New Roman"/>
          <w:b/>
          <w:color w:val="auto"/>
          <w:sz w:val="24"/>
          <w:szCs w:val="24"/>
        </w:rPr>
        <w:lastRenderedPageBreak/>
        <w:t xml:space="preserve">The </w:t>
      </w:r>
      <w:proofErr w:type="spellStart"/>
      <w:r w:rsidRPr="0046443F">
        <w:rPr>
          <w:rFonts w:ascii="Times New Roman" w:hAnsi="Times New Roman" w:cs="Times New Roman"/>
          <w:b/>
          <w:color w:val="auto"/>
          <w:sz w:val="24"/>
          <w:szCs w:val="24"/>
        </w:rPr>
        <w:t>Netherlands</w:t>
      </w:r>
      <w:bookmarkEnd w:id="50"/>
      <w:bookmarkEnd w:id="51"/>
      <w:bookmarkEnd w:id="52"/>
      <w:proofErr w:type="spellEnd"/>
    </w:p>
    <w:tbl>
      <w:tblPr>
        <w:tblStyle w:val="Grilledutableau"/>
        <w:tblW w:w="9064" w:type="dxa"/>
        <w:jc w:val="center"/>
        <w:tblLook w:val="04A0" w:firstRow="1" w:lastRow="0" w:firstColumn="1" w:lastColumn="0" w:noHBand="0" w:noVBand="1"/>
      </w:tblPr>
      <w:tblGrid>
        <w:gridCol w:w="2268"/>
        <w:gridCol w:w="1842"/>
        <w:gridCol w:w="1671"/>
        <w:gridCol w:w="1670"/>
        <w:gridCol w:w="1613"/>
      </w:tblGrid>
      <w:tr w:rsidR="007C64B4" w:rsidRPr="00282239" w:rsidTr="007C64B4">
        <w:trPr>
          <w:jc w:val="center"/>
        </w:trPr>
        <w:tc>
          <w:tcPr>
            <w:tcW w:w="9064" w:type="dxa"/>
            <w:gridSpan w:val="5"/>
          </w:tcPr>
          <w:p w:rsidR="007C64B4" w:rsidRPr="00C745E9" w:rsidRDefault="007C64B4" w:rsidP="007C64B4">
            <w:pPr>
              <w:jc w:val="center"/>
              <w:rPr>
                <w:lang w:val="en-GB"/>
              </w:rPr>
            </w:pPr>
            <w:r>
              <w:rPr>
                <w:lang w:val="en-US"/>
              </w:rPr>
              <w:t>Service facilities in the Netherlands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7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70" w:type="dxa"/>
          </w:tcPr>
          <w:p w:rsidR="007C64B4" w:rsidRPr="00962306"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13" w:type="dxa"/>
          </w:tcPr>
          <w:p w:rsidR="007C64B4" w:rsidRPr="00962306"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lang w:val="en-GB"/>
              </w:rPr>
            </w:pPr>
            <w:r w:rsidRPr="00FD4AEC">
              <w:rPr>
                <w:sz w:val="22"/>
                <w:szCs w:val="22"/>
                <w:lang w:val="en-GB"/>
              </w:rPr>
              <w:t>Passenger stations</w:t>
            </w:r>
          </w:p>
        </w:tc>
        <w:tc>
          <w:tcPr>
            <w:tcW w:w="1842" w:type="dxa"/>
          </w:tcPr>
          <w:p w:rsidR="007C64B4" w:rsidRPr="00FD4AEC" w:rsidRDefault="007C64B4" w:rsidP="007C64B4">
            <w:pPr>
              <w:jc w:val="center"/>
              <w:rPr>
                <w:sz w:val="22"/>
                <w:lang w:val="en-GB"/>
              </w:rPr>
            </w:pPr>
            <w:r w:rsidRPr="00FD4AEC">
              <w:rPr>
                <w:sz w:val="22"/>
                <w:lang w:val="en-GB"/>
              </w:rPr>
              <w:t>410</w:t>
            </w:r>
          </w:p>
        </w:tc>
        <w:tc>
          <w:tcPr>
            <w:tcW w:w="1671" w:type="dxa"/>
          </w:tcPr>
          <w:p w:rsidR="007C64B4" w:rsidRPr="00FD4AEC" w:rsidRDefault="007C64B4" w:rsidP="007C64B4">
            <w:pPr>
              <w:jc w:val="center"/>
              <w:rPr>
                <w:sz w:val="22"/>
                <w:lang w:val="en-GB"/>
              </w:rPr>
            </w:pPr>
            <w:r w:rsidRPr="00FD4AEC">
              <w:rPr>
                <w:sz w:val="22"/>
                <w:lang w:val="en-GB"/>
              </w:rPr>
              <w:t>0</w:t>
            </w:r>
            <w:r w:rsidRPr="00FD4AEC">
              <w:rPr>
                <w:rStyle w:val="Appelnotedebasdep"/>
                <w:sz w:val="22"/>
                <w:lang w:val="en-GB"/>
              </w:rPr>
              <w:footnoteReference w:id="47"/>
            </w:r>
          </w:p>
        </w:tc>
        <w:tc>
          <w:tcPr>
            <w:tcW w:w="1670" w:type="dxa"/>
          </w:tcPr>
          <w:p w:rsidR="007C64B4" w:rsidRPr="00FD4AEC" w:rsidRDefault="007C64B4" w:rsidP="007C64B4">
            <w:pPr>
              <w:jc w:val="center"/>
              <w:rPr>
                <w:sz w:val="22"/>
                <w:lang w:val="en-GB"/>
              </w:rPr>
            </w:pPr>
            <w:r w:rsidRPr="00FD4AEC">
              <w:rPr>
                <w:sz w:val="22"/>
                <w:lang w:val="en-GB"/>
              </w:rPr>
              <w:t>0</w:t>
            </w:r>
          </w:p>
        </w:tc>
        <w:tc>
          <w:tcPr>
            <w:tcW w:w="1613" w:type="dxa"/>
          </w:tcPr>
          <w:p w:rsidR="007C64B4" w:rsidRPr="00FD4AEC" w:rsidRDefault="007C64B4" w:rsidP="007C64B4">
            <w:pPr>
              <w:jc w:val="center"/>
              <w:rPr>
                <w:sz w:val="22"/>
                <w:lang w:val="en-GB"/>
              </w:rPr>
            </w:pPr>
            <w:r w:rsidRPr="00FD4AEC">
              <w:rPr>
                <w:sz w:val="22"/>
                <w:lang w:val="en-GB"/>
              </w:rPr>
              <w:t>0</w:t>
            </w:r>
          </w:p>
        </w:tc>
      </w:tr>
      <w:tr w:rsidR="007C64B4" w:rsidRPr="00FD4AEC" w:rsidTr="007C64B4">
        <w:trPr>
          <w:jc w:val="center"/>
        </w:trPr>
        <w:tc>
          <w:tcPr>
            <w:tcW w:w="2268" w:type="dxa"/>
          </w:tcPr>
          <w:p w:rsidR="007C64B4" w:rsidRPr="00FD4AEC" w:rsidRDefault="007C64B4" w:rsidP="007C64B4">
            <w:pPr>
              <w:rPr>
                <w:sz w:val="22"/>
                <w:lang w:val="en-GB"/>
              </w:rPr>
            </w:pPr>
            <w:r w:rsidRPr="00FD4AEC">
              <w:rPr>
                <w:sz w:val="22"/>
                <w:szCs w:val="22"/>
                <w:lang w:val="en-GB"/>
              </w:rPr>
              <w:t>Intermodal freight terminals</w:t>
            </w:r>
          </w:p>
        </w:tc>
        <w:tc>
          <w:tcPr>
            <w:tcW w:w="1842" w:type="dxa"/>
            <w:vAlign w:val="bottom"/>
          </w:tcPr>
          <w:p w:rsidR="007C64B4" w:rsidRPr="00FD4AEC" w:rsidRDefault="007C64B4" w:rsidP="007C64B4">
            <w:pPr>
              <w:jc w:val="center"/>
              <w:rPr>
                <w:sz w:val="22"/>
                <w:lang w:val="en-GB"/>
              </w:rPr>
            </w:pPr>
            <w:r w:rsidRPr="00FD4AEC">
              <w:rPr>
                <w:sz w:val="22"/>
                <w:lang w:val="en-GB"/>
              </w:rPr>
              <w:t>n/a</w:t>
            </w:r>
          </w:p>
        </w:tc>
        <w:tc>
          <w:tcPr>
            <w:tcW w:w="1671" w:type="dxa"/>
            <w:vAlign w:val="bottom"/>
          </w:tcPr>
          <w:p w:rsidR="007C64B4" w:rsidRPr="00FD4AEC" w:rsidRDefault="007C64B4" w:rsidP="007C64B4">
            <w:pPr>
              <w:jc w:val="center"/>
              <w:rPr>
                <w:sz w:val="22"/>
                <w:lang w:val="en-GB"/>
              </w:rPr>
            </w:pPr>
            <w:r w:rsidRPr="00FD4AEC">
              <w:rPr>
                <w:sz w:val="22"/>
                <w:lang w:val="en-GB"/>
              </w:rPr>
              <w:t>n/a</w:t>
            </w:r>
          </w:p>
        </w:tc>
        <w:tc>
          <w:tcPr>
            <w:tcW w:w="1670" w:type="dxa"/>
            <w:vAlign w:val="bottom"/>
          </w:tcPr>
          <w:p w:rsidR="007C64B4" w:rsidRPr="00FD4AEC" w:rsidRDefault="007C64B4" w:rsidP="007C64B4">
            <w:pPr>
              <w:jc w:val="center"/>
              <w:rPr>
                <w:sz w:val="22"/>
                <w:lang w:val="en-GB"/>
              </w:rPr>
            </w:pPr>
            <w:r w:rsidRPr="00FD4AEC">
              <w:rPr>
                <w:sz w:val="22"/>
                <w:lang w:val="en-GB"/>
              </w:rPr>
              <w:t>n/a</w:t>
            </w:r>
          </w:p>
        </w:tc>
        <w:tc>
          <w:tcPr>
            <w:tcW w:w="1613" w:type="dxa"/>
            <w:vAlign w:val="bottom"/>
          </w:tcPr>
          <w:p w:rsidR="007C64B4" w:rsidRPr="00FD4AEC" w:rsidRDefault="007C64B4" w:rsidP="007C64B4">
            <w:pPr>
              <w:jc w:val="center"/>
              <w:rPr>
                <w:sz w:val="22"/>
                <w:lang w:val="en-GB"/>
              </w:rPr>
            </w:pPr>
            <w:r w:rsidRPr="00FD4AEC">
              <w:rPr>
                <w:sz w:val="22"/>
                <w:lang w:val="en-GB"/>
              </w:rPr>
              <w:t>n/a</w:t>
            </w:r>
          </w:p>
        </w:tc>
      </w:tr>
      <w:tr w:rsidR="007C64B4" w:rsidRPr="00FD4AEC" w:rsidTr="007C64B4">
        <w:trPr>
          <w:jc w:val="center"/>
        </w:trPr>
        <w:tc>
          <w:tcPr>
            <w:tcW w:w="2268" w:type="dxa"/>
          </w:tcPr>
          <w:p w:rsidR="007C64B4" w:rsidRPr="00FD4AEC" w:rsidRDefault="007C64B4" w:rsidP="007C64B4">
            <w:pPr>
              <w:rPr>
                <w:sz w:val="22"/>
                <w:lang w:val="en-GB"/>
              </w:rPr>
            </w:pPr>
            <w:r w:rsidRPr="00FD4AEC">
              <w:rPr>
                <w:sz w:val="22"/>
                <w:szCs w:val="22"/>
                <w:lang w:val="en-GB"/>
              </w:rPr>
              <w:t>Marshalling yards with gravity hills</w:t>
            </w:r>
          </w:p>
        </w:tc>
        <w:tc>
          <w:tcPr>
            <w:tcW w:w="1842" w:type="dxa"/>
          </w:tcPr>
          <w:p w:rsidR="007C64B4" w:rsidRPr="00FD4AEC" w:rsidRDefault="007C64B4" w:rsidP="007C64B4">
            <w:pPr>
              <w:jc w:val="center"/>
              <w:rPr>
                <w:sz w:val="22"/>
                <w:lang w:val="en-GB"/>
              </w:rPr>
            </w:pPr>
            <w:r w:rsidRPr="00FD4AEC">
              <w:rPr>
                <w:sz w:val="22"/>
                <w:lang w:val="en-GB"/>
              </w:rPr>
              <w:t>0</w:t>
            </w:r>
          </w:p>
        </w:tc>
        <w:tc>
          <w:tcPr>
            <w:tcW w:w="1671" w:type="dxa"/>
          </w:tcPr>
          <w:p w:rsidR="007C64B4" w:rsidRPr="00FD4AEC" w:rsidRDefault="007C64B4" w:rsidP="007C64B4">
            <w:pPr>
              <w:jc w:val="center"/>
              <w:rPr>
                <w:sz w:val="22"/>
                <w:lang w:val="en-GB"/>
              </w:rPr>
            </w:pPr>
            <w:r w:rsidRPr="00FD4AEC">
              <w:rPr>
                <w:sz w:val="22"/>
                <w:lang w:val="en-GB"/>
              </w:rPr>
              <w:t>1</w:t>
            </w:r>
          </w:p>
        </w:tc>
        <w:tc>
          <w:tcPr>
            <w:tcW w:w="1670" w:type="dxa"/>
          </w:tcPr>
          <w:p w:rsidR="007C64B4" w:rsidRPr="00FD4AEC" w:rsidRDefault="007C64B4" w:rsidP="007C64B4">
            <w:pPr>
              <w:jc w:val="center"/>
              <w:rPr>
                <w:sz w:val="22"/>
                <w:lang w:val="en-GB"/>
              </w:rPr>
            </w:pPr>
            <w:r w:rsidRPr="00FD4AEC">
              <w:rPr>
                <w:sz w:val="22"/>
                <w:lang w:val="en-GB"/>
              </w:rPr>
              <w:t>0</w:t>
            </w:r>
          </w:p>
        </w:tc>
        <w:tc>
          <w:tcPr>
            <w:tcW w:w="1613" w:type="dxa"/>
          </w:tcPr>
          <w:p w:rsidR="007C64B4" w:rsidRPr="00FD4AEC" w:rsidRDefault="007C64B4" w:rsidP="007C64B4">
            <w:pPr>
              <w:jc w:val="center"/>
              <w:rPr>
                <w:sz w:val="22"/>
                <w:lang w:val="en-GB"/>
              </w:rPr>
            </w:pPr>
            <w:r w:rsidRPr="00FD4AEC">
              <w:rPr>
                <w:sz w:val="22"/>
                <w:lang w:val="en-GB"/>
              </w:rPr>
              <w:t>0</w:t>
            </w:r>
          </w:p>
        </w:tc>
      </w:tr>
      <w:tr w:rsidR="007C64B4" w:rsidRPr="00FD4AEC" w:rsidTr="007C64B4">
        <w:trPr>
          <w:jc w:val="center"/>
        </w:trPr>
        <w:tc>
          <w:tcPr>
            <w:tcW w:w="2268" w:type="dxa"/>
          </w:tcPr>
          <w:p w:rsidR="007C64B4" w:rsidRPr="00FD4AEC" w:rsidRDefault="007C64B4" w:rsidP="007C64B4">
            <w:pPr>
              <w:rPr>
                <w:sz w:val="22"/>
                <w:lang w:val="en-GB"/>
              </w:rPr>
            </w:pPr>
            <w:r w:rsidRPr="00FD4AEC">
              <w:rPr>
                <w:sz w:val="22"/>
                <w:szCs w:val="22"/>
                <w:lang w:val="en-GB"/>
              </w:rPr>
              <w:t>Maintenance facilities</w:t>
            </w:r>
          </w:p>
        </w:tc>
        <w:tc>
          <w:tcPr>
            <w:tcW w:w="1842" w:type="dxa"/>
          </w:tcPr>
          <w:p w:rsidR="007C64B4" w:rsidRPr="00FD4AEC" w:rsidRDefault="007C64B4" w:rsidP="007C64B4">
            <w:pPr>
              <w:jc w:val="center"/>
              <w:rPr>
                <w:sz w:val="22"/>
                <w:lang w:val="en-GB"/>
              </w:rPr>
            </w:pPr>
            <w:r w:rsidRPr="00FD4AEC">
              <w:rPr>
                <w:sz w:val="22"/>
                <w:lang w:val="en-GB"/>
              </w:rPr>
              <w:t>n/a</w:t>
            </w:r>
          </w:p>
        </w:tc>
        <w:tc>
          <w:tcPr>
            <w:tcW w:w="1671" w:type="dxa"/>
          </w:tcPr>
          <w:p w:rsidR="007C64B4" w:rsidRPr="00FD4AEC" w:rsidRDefault="007C64B4" w:rsidP="007C64B4">
            <w:pPr>
              <w:jc w:val="center"/>
              <w:rPr>
                <w:sz w:val="22"/>
                <w:lang w:val="en-GB"/>
              </w:rPr>
            </w:pPr>
            <w:r w:rsidRPr="00FD4AEC">
              <w:rPr>
                <w:sz w:val="22"/>
                <w:lang w:val="en-GB"/>
              </w:rPr>
              <w:t>1</w:t>
            </w:r>
          </w:p>
        </w:tc>
        <w:tc>
          <w:tcPr>
            <w:tcW w:w="1670" w:type="dxa"/>
          </w:tcPr>
          <w:p w:rsidR="007C64B4" w:rsidRPr="00FD4AEC" w:rsidRDefault="007C64B4" w:rsidP="007C64B4">
            <w:pPr>
              <w:jc w:val="center"/>
              <w:rPr>
                <w:sz w:val="22"/>
                <w:lang w:val="en-GB"/>
              </w:rPr>
            </w:pPr>
            <w:r w:rsidRPr="00FD4AEC">
              <w:rPr>
                <w:sz w:val="22"/>
                <w:lang w:val="en-GB"/>
              </w:rPr>
              <w:t>n/a</w:t>
            </w:r>
          </w:p>
        </w:tc>
        <w:tc>
          <w:tcPr>
            <w:tcW w:w="1613" w:type="dxa"/>
          </w:tcPr>
          <w:p w:rsidR="007C64B4" w:rsidRPr="00FD4AEC" w:rsidRDefault="007C64B4" w:rsidP="007C64B4">
            <w:pPr>
              <w:jc w:val="center"/>
              <w:rPr>
                <w:sz w:val="22"/>
                <w:lang w:val="en-GB"/>
              </w:rPr>
            </w:pPr>
            <w:r w:rsidRPr="00FD4AEC">
              <w:rPr>
                <w:sz w:val="22"/>
                <w:lang w:val="en-GB"/>
              </w:rPr>
              <w:t>n/a</w:t>
            </w:r>
          </w:p>
        </w:tc>
      </w:tr>
      <w:tr w:rsidR="007C64B4" w:rsidRPr="00FD4AEC" w:rsidTr="007C64B4">
        <w:trPr>
          <w:trHeight w:val="187"/>
          <w:jc w:val="center"/>
        </w:trPr>
        <w:tc>
          <w:tcPr>
            <w:tcW w:w="2268" w:type="dxa"/>
          </w:tcPr>
          <w:p w:rsidR="007C64B4" w:rsidRPr="00FD4AEC" w:rsidRDefault="007C64B4" w:rsidP="007C64B4">
            <w:pPr>
              <w:rPr>
                <w:sz w:val="22"/>
                <w:lang w:val="en-GB"/>
              </w:rPr>
            </w:pPr>
            <w:r w:rsidRPr="00FD4AEC">
              <w:rPr>
                <w:sz w:val="22"/>
                <w:szCs w:val="22"/>
                <w:lang w:val="en-GB"/>
              </w:rPr>
              <w:t>Refuelling facilities</w:t>
            </w:r>
          </w:p>
        </w:tc>
        <w:tc>
          <w:tcPr>
            <w:tcW w:w="1842" w:type="dxa"/>
          </w:tcPr>
          <w:p w:rsidR="007C64B4" w:rsidRPr="00FD4AEC" w:rsidRDefault="007C64B4" w:rsidP="007C64B4">
            <w:pPr>
              <w:jc w:val="center"/>
              <w:rPr>
                <w:sz w:val="22"/>
                <w:lang w:val="en-GB"/>
              </w:rPr>
            </w:pPr>
            <w:r w:rsidRPr="00FD4AEC">
              <w:rPr>
                <w:sz w:val="22"/>
                <w:lang w:val="en-GB"/>
              </w:rPr>
              <w:t>n/a</w:t>
            </w:r>
          </w:p>
        </w:tc>
        <w:tc>
          <w:tcPr>
            <w:tcW w:w="1671" w:type="dxa"/>
          </w:tcPr>
          <w:p w:rsidR="007C64B4" w:rsidRPr="00FD4AEC" w:rsidRDefault="007C64B4" w:rsidP="007C64B4">
            <w:pPr>
              <w:jc w:val="center"/>
              <w:rPr>
                <w:sz w:val="22"/>
                <w:lang w:val="en-GB"/>
              </w:rPr>
            </w:pPr>
            <w:r w:rsidRPr="00FD4AEC">
              <w:rPr>
                <w:sz w:val="22"/>
                <w:lang w:val="en-GB"/>
              </w:rPr>
              <w:t>17</w:t>
            </w:r>
          </w:p>
        </w:tc>
        <w:tc>
          <w:tcPr>
            <w:tcW w:w="1670" w:type="dxa"/>
          </w:tcPr>
          <w:p w:rsidR="007C64B4" w:rsidRPr="00FD4AEC" w:rsidRDefault="007C64B4" w:rsidP="007C64B4">
            <w:pPr>
              <w:jc w:val="center"/>
              <w:rPr>
                <w:sz w:val="22"/>
                <w:lang w:val="en-GB"/>
              </w:rPr>
            </w:pPr>
            <w:r w:rsidRPr="00FD4AEC">
              <w:rPr>
                <w:sz w:val="22"/>
                <w:lang w:val="en-GB"/>
              </w:rPr>
              <w:t>n/a</w:t>
            </w:r>
          </w:p>
        </w:tc>
        <w:tc>
          <w:tcPr>
            <w:tcW w:w="1613" w:type="dxa"/>
          </w:tcPr>
          <w:p w:rsidR="007C64B4" w:rsidRPr="00FD4AEC" w:rsidRDefault="007C64B4" w:rsidP="007C64B4">
            <w:pPr>
              <w:jc w:val="center"/>
              <w:rPr>
                <w:sz w:val="22"/>
                <w:lang w:val="en-GB"/>
              </w:rPr>
            </w:pPr>
            <w:r w:rsidRPr="00FD4AEC">
              <w:rPr>
                <w:sz w:val="22"/>
                <w:lang w:val="en-GB"/>
              </w:rPr>
              <w:t>n/a</w:t>
            </w:r>
          </w:p>
        </w:tc>
      </w:tr>
    </w:tbl>
    <w:p w:rsidR="007C64B4" w:rsidRPr="0027024B" w:rsidRDefault="007C64B4" w:rsidP="007C64B4">
      <w:pPr>
        <w:jc w:val="center"/>
        <w:rPr>
          <w:sz w:val="20"/>
          <w:lang w:val="en-GB"/>
        </w:rPr>
      </w:pPr>
      <w:r w:rsidRPr="00962306">
        <w:rPr>
          <w:sz w:val="20"/>
          <w:lang w:val="en-GB"/>
        </w:rPr>
        <w:t xml:space="preserve">Table </w:t>
      </w:r>
      <w:r w:rsidRPr="00096A00">
        <w:rPr>
          <w:sz w:val="20"/>
          <w:szCs w:val="20"/>
        </w:rPr>
        <w:fldChar w:fldCharType="begin"/>
      </w:r>
      <w:r w:rsidRPr="00096A00">
        <w:rPr>
          <w:sz w:val="20"/>
          <w:szCs w:val="20"/>
          <w:lang w:val="en-US"/>
        </w:rPr>
        <w:instrText xml:space="preserve"> SEQ Table \* ARABIC </w:instrText>
      </w:r>
      <w:r w:rsidRPr="00096A00">
        <w:rPr>
          <w:sz w:val="20"/>
          <w:szCs w:val="20"/>
        </w:rPr>
        <w:fldChar w:fldCharType="separate"/>
      </w:r>
      <w:r w:rsidR="0099201F">
        <w:rPr>
          <w:noProof/>
          <w:sz w:val="20"/>
          <w:szCs w:val="20"/>
          <w:lang w:val="en-US"/>
        </w:rPr>
        <w:t>18</w:t>
      </w:r>
      <w:r w:rsidRPr="00096A00">
        <w:rPr>
          <w:sz w:val="20"/>
          <w:szCs w:val="20"/>
        </w:rPr>
        <w:fldChar w:fldCharType="end"/>
      </w:r>
      <w:r w:rsidRPr="00916248">
        <w:rPr>
          <w:b/>
          <w:sz w:val="20"/>
          <w:szCs w:val="20"/>
          <w:lang w:val="en-US"/>
        </w:rPr>
        <w:t>:</w:t>
      </w:r>
      <w:r w:rsidRPr="00A96026">
        <w:rPr>
          <w:sz w:val="20"/>
          <w:lang w:val="en-GB"/>
        </w:rPr>
        <w:t xml:space="preserve"> No of service facilities in </w:t>
      </w:r>
      <w:r w:rsidRPr="00334AA3">
        <w:rPr>
          <w:sz w:val="20"/>
          <w:lang w:val="en-GB"/>
        </w:rPr>
        <w:t>the Netherlands according to the market monitoring survey</w:t>
      </w:r>
      <w:r w:rsidRPr="0006175C">
        <w:rPr>
          <w:sz w:val="20"/>
          <w:lang w:val="en-GB"/>
        </w:rPr>
        <w:t xml:space="preserve"> of IRG-Rail 2016</w:t>
      </w:r>
    </w:p>
    <w:p w:rsidR="007C64B4" w:rsidRDefault="007C64B4" w:rsidP="007C64B4">
      <w:pPr>
        <w:rPr>
          <w:lang w:val="en-US"/>
        </w:rPr>
      </w:pPr>
      <w:r w:rsidRPr="003943FF">
        <w:rPr>
          <w:lang w:val="en-US"/>
        </w:rPr>
        <w:t>https://www.acm.nl/en/publications/publication/17086/Clarity-in-advance-for-rail-undertakings-in-regional-rail-tender-processes</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53" w:name="__RefHeading__5341_1151380434"/>
      <w:bookmarkStart w:id="54" w:name="_Toc494177962"/>
      <w:bookmarkStart w:id="55" w:name="_Toc495652239"/>
      <w:bookmarkStart w:id="56" w:name="_Toc496702665"/>
      <w:bookmarkEnd w:id="53"/>
      <w:proofErr w:type="spellStart"/>
      <w:r w:rsidRPr="0046443F">
        <w:rPr>
          <w:rFonts w:ascii="Times New Roman" w:hAnsi="Times New Roman" w:cs="Times New Roman"/>
          <w:b/>
          <w:color w:val="auto"/>
          <w:sz w:val="24"/>
          <w:szCs w:val="24"/>
        </w:rPr>
        <w:t>Norway</w:t>
      </w:r>
      <w:bookmarkEnd w:id="54"/>
      <w:bookmarkEnd w:id="55"/>
      <w:bookmarkEnd w:id="56"/>
      <w:proofErr w:type="spellEnd"/>
    </w:p>
    <w:tbl>
      <w:tblPr>
        <w:tblStyle w:val="Grilledutableau"/>
        <w:tblW w:w="9071" w:type="dxa"/>
        <w:jc w:val="center"/>
        <w:tblLook w:val="04A0" w:firstRow="1" w:lastRow="0" w:firstColumn="1" w:lastColumn="0" w:noHBand="0" w:noVBand="1"/>
      </w:tblPr>
      <w:tblGrid>
        <w:gridCol w:w="2268"/>
        <w:gridCol w:w="1842"/>
        <w:gridCol w:w="1657"/>
        <w:gridCol w:w="1653"/>
        <w:gridCol w:w="1651"/>
      </w:tblGrid>
      <w:tr w:rsidR="007C64B4" w:rsidRPr="00282239" w:rsidTr="007C64B4">
        <w:trPr>
          <w:jc w:val="center"/>
        </w:trPr>
        <w:tc>
          <w:tcPr>
            <w:tcW w:w="9066" w:type="dxa"/>
            <w:gridSpan w:val="5"/>
          </w:tcPr>
          <w:p w:rsidR="007C64B4" w:rsidRPr="00C745E9" w:rsidRDefault="007C64B4" w:rsidP="007C64B4">
            <w:pPr>
              <w:jc w:val="center"/>
              <w:rPr>
                <w:lang w:val="en-GB"/>
              </w:rPr>
            </w:pPr>
            <w:r>
              <w:rPr>
                <w:lang w:val="en-US"/>
              </w:rPr>
              <w:t>Service facilities in Norway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57"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53" w:type="dxa"/>
          </w:tcPr>
          <w:p w:rsidR="007C64B4" w:rsidRPr="005508A1"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51" w:type="dxa"/>
          </w:tcPr>
          <w:p w:rsidR="007C64B4" w:rsidRPr="005508A1"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C745E9" w:rsidTr="007C64B4">
        <w:trPr>
          <w:jc w:val="center"/>
        </w:trPr>
        <w:tc>
          <w:tcPr>
            <w:tcW w:w="2268" w:type="dxa"/>
          </w:tcPr>
          <w:p w:rsidR="007C64B4" w:rsidRPr="006051F7" w:rsidRDefault="007C64B4" w:rsidP="007C64B4">
            <w:pPr>
              <w:rPr>
                <w:sz w:val="22"/>
                <w:lang w:val="en-GB"/>
              </w:rPr>
            </w:pPr>
            <w:r w:rsidRPr="00042EBE">
              <w:rPr>
                <w:sz w:val="22"/>
                <w:szCs w:val="22"/>
                <w:lang w:val="en-GB"/>
              </w:rPr>
              <w:t>Passenger stations</w:t>
            </w:r>
          </w:p>
        </w:tc>
        <w:tc>
          <w:tcPr>
            <w:tcW w:w="1842" w:type="dxa"/>
          </w:tcPr>
          <w:p w:rsidR="007C64B4" w:rsidRPr="006051F7" w:rsidRDefault="007C64B4" w:rsidP="007C64B4">
            <w:pPr>
              <w:jc w:val="center"/>
              <w:rPr>
                <w:sz w:val="22"/>
                <w:lang w:val="en-GB"/>
              </w:rPr>
            </w:pPr>
            <w:r w:rsidRPr="00042EBE">
              <w:rPr>
                <w:sz w:val="22"/>
                <w:szCs w:val="22"/>
                <w:lang w:val="en-GB"/>
              </w:rPr>
              <w:t>337</w:t>
            </w:r>
          </w:p>
        </w:tc>
        <w:tc>
          <w:tcPr>
            <w:tcW w:w="1657" w:type="dxa"/>
          </w:tcPr>
          <w:p w:rsidR="007C64B4" w:rsidRPr="006051F7" w:rsidRDefault="007C64B4" w:rsidP="007C64B4">
            <w:pPr>
              <w:jc w:val="center"/>
              <w:rPr>
                <w:sz w:val="22"/>
                <w:lang w:val="en-GB"/>
              </w:rPr>
            </w:pPr>
          </w:p>
        </w:tc>
        <w:tc>
          <w:tcPr>
            <w:tcW w:w="1653" w:type="dxa"/>
          </w:tcPr>
          <w:p w:rsidR="007C64B4" w:rsidRPr="006051F7" w:rsidRDefault="007C64B4" w:rsidP="007C64B4">
            <w:pPr>
              <w:jc w:val="center"/>
              <w:rPr>
                <w:sz w:val="22"/>
                <w:lang w:val="en-GB"/>
              </w:rPr>
            </w:pPr>
          </w:p>
        </w:tc>
        <w:tc>
          <w:tcPr>
            <w:tcW w:w="1651" w:type="dxa"/>
          </w:tcPr>
          <w:p w:rsidR="007C64B4" w:rsidRPr="006051F7" w:rsidRDefault="007C64B4" w:rsidP="007C64B4">
            <w:pPr>
              <w:jc w:val="center"/>
              <w:rPr>
                <w:sz w:val="22"/>
                <w:lang w:val="en-GB"/>
              </w:rPr>
            </w:pPr>
          </w:p>
        </w:tc>
      </w:tr>
      <w:tr w:rsidR="007C64B4" w:rsidRPr="00C745E9" w:rsidTr="007C64B4">
        <w:trPr>
          <w:jc w:val="center"/>
        </w:trPr>
        <w:tc>
          <w:tcPr>
            <w:tcW w:w="2268" w:type="dxa"/>
          </w:tcPr>
          <w:p w:rsidR="007C64B4" w:rsidRPr="006051F7" w:rsidRDefault="007C64B4" w:rsidP="007C64B4">
            <w:pPr>
              <w:rPr>
                <w:sz w:val="22"/>
                <w:lang w:val="en-GB"/>
              </w:rPr>
            </w:pPr>
            <w:r w:rsidRPr="00042EBE">
              <w:rPr>
                <w:sz w:val="22"/>
                <w:szCs w:val="22"/>
                <w:lang w:val="en-GB"/>
              </w:rPr>
              <w:t>Intermodal freight terminals</w:t>
            </w:r>
          </w:p>
        </w:tc>
        <w:tc>
          <w:tcPr>
            <w:tcW w:w="1842" w:type="dxa"/>
            <w:vAlign w:val="bottom"/>
          </w:tcPr>
          <w:p w:rsidR="007C64B4" w:rsidRPr="006051F7" w:rsidRDefault="007C64B4" w:rsidP="007C64B4">
            <w:pPr>
              <w:jc w:val="center"/>
              <w:rPr>
                <w:sz w:val="22"/>
                <w:lang w:val="en-GB"/>
              </w:rPr>
            </w:pPr>
            <w:r w:rsidRPr="00042EBE">
              <w:rPr>
                <w:sz w:val="22"/>
                <w:szCs w:val="22"/>
                <w:lang w:val="en-GB"/>
              </w:rPr>
              <w:t>13</w:t>
            </w:r>
          </w:p>
        </w:tc>
        <w:tc>
          <w:tcPr>
            <w:tcW w:w="1657" w:type="dxa"/>
            <w:vAlign w:val="bottom"/>
          </w:tcPr>
          <w:p w:rsidR="007C64B4" w:rsidRPr="006051F7" w:rsidRDefault="007C64B4" w:rsidP="007C64B4">
            <w:pPr>
              <w:jc w:val="center"/>
              <w:rPr>
                <w:sz w:val="22"/>
                <w:lang w:val="en-GB"/>
              </w:rPr>
            </w:pPr>
            <w:r w:rsidRPr="00042EBE">
              <w:rPr>
                <w:sz w:val="22"/>
                <w:szCs w:val="22"/>
                <w:lang w:val="en-GB"/>
              </w:rPr>
              <w:t>0</w:t>
            </w:r>
          </w:p>
        </w:tc>
        <w:tc>
          <w:tcPr>
            <w:tcW w:w="1653" w:type="dxa"/>
            <w:vAlign w:val="bottom"/>
          </w:tcPr>
          <w:p w:rsidR="007C64B4" w:rsidRPr="006051F7" w:rsidRDefault="007C64B4" w:rsidP="007C64B4">
            <w:pPr>
              <w:jc w:val="center"/>
              <w:rPr>
                <w:sz w:val="22"/>
                <w:lang w:val="en-GB"/>
              </w:rPr>
            </w:pPr>
            <w:r w:rsidRPr="00042EBE">
              <w:rPr>
                <w:sz w:val="22"/>
                <w:szCs w:val="22"/>
                <w:lang w:val="en-GB"/>
              </w:rPr>
              <w:t>1</w:t>
            </w:r>
          </w:p>
        </w:tc>
        <w:tc>
          <w:tcPr>
            <w:tcW w:w="1651" w:type="dxa"/>
            <w:vAlign w:val="bottom"/>
          </w:tcPr>
          <w:p w:rsidR="007C64B4" w:rsidRPr="006051F7" w:rsidRDefault="007C64B4" w:rsidP="007C64B4">
            <w:pPr>
              <w:jc w:val="center"/>
              <w:rPr>
                <w:sz w:val="22"/>
                <w:lang w:val="en-GB"/>
              </w:rPr>
            </w:pPr>
            <w:r w:rsidRPr="00042EBE">
              <w:rPr>
                <w:sz w:val="22"/>
                <w:szCs w:val="22"/>
                <w:lang w:val="en-GB"/>
              </w:rPr>
              <w:t>1</w:t>
            </w:r>
          </w:p>
        </w:tc>
      </w:tr>
      <w:tr w:rsidR="007C64B4" w:rsidRPr="00E9349B" w:rsidTr="007C64B4">
        <w:trPr>
          <w:jc w:val="center"/>
        </w:trPr>
        <w:tc>
          <w:tcPr>
            <w:tcW w:w="2268" w:type="dxa"/>
          </w:tcPr>
          <w:p w:rsidR="007C64B4" w:rsidRPr="006051F7" w:rsidRDefault="007C64B4" w:rsidP="007C64B4">
            <w:pPr>
              <w:rPr>
                <w:sz w:val="22"/>
                <w:lang w:val="en-GB"/>
              </w:rPr>
            </w:pPr>
            <w:r w:rsidRPr="00042EBE">
              <w:rPr>
                <w:sz w:val="22"/>
                <w:szCs w:val="22"/>
                <w:lang w:val="en-GB"/>
              </w:rPr>
              <w:t>Marshalling yards with gravity hills</w:t>
            </w:r>
          </w:p>
        </w:tc>
        <w:tc>
          <w:tcPr>
            <w:tcW w:w="1842" w:type="dxa"/>
          </w:tcPr>
          <w:p w:rsidR="007C64B4" w:rsidRPr="006051F7" w:rsidRDefault="007C64B4" w:rsidP="007C64B4">
            <w:pPr>
              <w:jc w:val="center"/>
              <w:rPr>
                <w:sz w:val="22"/>
                <w:lang w:val="en-GB"/>
              </w:rPr>
            </w:pPr>
            <w:r w:rsidRPr="00042EBE">
              <w:rPr>
                <w:sz w:val="22"/>
                <w:szCs w:val="22"/>
                <w:lang w:val="en-GB"/>
              </w:rPr>
              <w:t>0</w:t>
            </w:r>
          </w:p>
        </w:tc>
        <w:tc>
          <w:tcPr>
            <w:tcW w:w="1657" w:type="dxa"/>
          </w:tcPr>
          <w:p w:rsidR="007C64B4" w:rsidRPr="006051F7" w:rsidRDefault="007C64B4" w:rsidP="007C64B4">
            <w:pPr>
              <w:jc w:val="center"/>
              <w:rPr>
                <w:sz w:val="22"/>
                <w:lang w:val="en-GB"/>
              </w:rPr>
            </w:pPr>
            <w:r w:rsidRPr="00042EBE">
              <w:rPr>
                <w:sz w:val="22"/>
                <w:szCs w:val="22"/>
                <w:lang w:val="en-GB"/>
              </w:rPr>
              <w:t>0</w:t>
            </w:r>
          </w:p>
        </w:tc>
        <w:tc>
          <w:tcPr>
            <w:tcW w:w="1653" w:type="dxa"/>
          </w:tcPr>
          <w:p w:rsidR="007C64B4" w:rsidRPr="006051F7" w:rsidRDefault="007C64B4" w:rsidP="007C64B4">
            <w:pPr>
              <w:jc w:val="center"/>
              <w:rPr>
                <w:sz w:val="22"/>
                <w:lang w:val="en-GB"/>
              </w:rPr>
            </w:pPr>
            <w:r w:rsidRPr="00042EBE">
              <w:rPr>
                <w:sz w:val="22"/>
                <w:szCs w:val="22"/>
                <w:lang w:val="en-GB"/>
              </w:rPr>
              <w:t>0</w:t>
            </w:r>
          </w:p>
        </w:tc>
        <w:tc>
          <w:tcPr>
            <w:tcW w:w="1651" w:type="dxa"/>
          </w:tcPr>
          <w:p w:rsidR="007C64B4" w:rsidRPr="006051F7" w:rsidRDefault="007C64B4" w:rsidP="007C64B4">
            <w:pPr>
              <w:jc w:val="center"/>
              <w:rPr>
                <w:sz w:val="22"/>
                <w:lang w:val="en-GB"/>
              </w:rPr>
            </w:pPr>
            <w:r w:rsidRPr="00042EBE">
              <w:rPr>
                <w:sz w:val="22"/>
                <w:szCs w:val="22"/>
                <w:lang w:val="en-GB"/>
              </w:rPr>
              <w:t>0</w:t>
            </w:r>
          </w:p>
        </w:tc>
      </w:tr>
      <w:tr w:rsidR="007C64B4" w:rsidRPr="00C745E9" w:rsidTr="007C64B4">
        <w:trPr>
          <w:jc w:val="center"/>
        </w:trPr>
        <w:tc>
          <w:tcPr>
            <w:tcW w:w="2268" w:type="dxa"/>
          </w:tcPr>
          <w:p w:rsidR="007C64B4" w:rsidRPr="006051F7" w:rsidRDefault="007C64B4" w:rsidP="007C64B4">
            <w:pPr>
              <w:rPr>
                <w:sz w:val="22"/>
                <w:lang w:val="en-GB"/>
              </w:rPr>
            </w:pPr>
            <w:r w:rsidRPr="00042EBE">
              <w:rPr>
                <w:sz w:val="22"/>
                <w:szCs w:val="22"/>
                <w:lang w:val="en-GB"/>
              </w:rPr>
              <w:t>Maintenance facilities</w:t>
            </w:r>
          </w:p>
        </w:tc>
        <w:tc>
          <w:tcPr>
            <w:tcW w:w="1842" w:type="dxa"/>
          </w:tcPr>
          <w:p w:rsidR="007C64B4" w:rsidRPr="006051F7" w:rsidRDefault="007C64B4" w:rsidP="007C64B4">
            <w:pPr>
              <w:jc w:val="center"/>
              <w:rPr>
                <w:sz w:val="22"/>
                <w:lang w:val="en-GB"/>
              </w:rPr>
            </w:pPr>
            <w:r w:rsidRPr="00042EBE">
              <w:rPr>
                <w:sz w:val="22"/>
                <w:szCs w:val="22"/>
                <w:lang w:val="en-GB"/>
              </w:rPr>
              <w:t>1</w:t>
            </w:r>
          </w:p>
        </w:tc>
        <w:tc>
          <w:tcPr>
            <w:tcW w:w="1657" w:type="dxa"/>
          </w:tcPr>
          <w:p w:rsidR="007C64B4" w:rsidRPr="006051F7" w:rsidRDefault="007C64B4" w:rsidP="007C64B4">
            <w:pPr>
              <w:jc w:val="center"/>
              <w:rPr>
                <w:sz w:val="22"/>
                <w:lang w:val="en-GB"/>
              </w:rPr>
            </w:pPr>
            <w:r w:rsidRPr="00042EBE">
              <w:rPr>
                <w:sz w:val="22"/>
                <w:szCs w:val="22"/>
                <w:lang w:val="en-GB"/>
              </w:rPr>
              <w:t>0</w:t>
            </w:r>
          </w:p>
        </w:tc>
        <w:tc>
          <w:tcPr>
            <w:tcW w:w="1653" w:type="dxa"/>
          </w:tcPr>
          <w:p w:rsidR="007C64B4" w:rsidRPr="006051F7" w:rsidRDefault="007C64B4" w:rsidP="007C64B4">
            <w:pPr>
              <w:jc w:val="center"/>
              <w:rPr>
                <w:sz w:val="22"/>
                <w:lang w:val="en-GB"/>
              </w:rPr>
            </w:pPr>
            <w:r w:rsidRPr="00042EBE">
              <w:rPr>
                <w:sz w:val="22"/>
                <w:szCs w:val="22"/>
                <w:lang w:val="en-GB"/>
              </w:rPr>
              <w:t>1</w:t>
            </w:r>
          </w:p>
        </w:tc>
        <w:tc>
          <w:tcPr>
            <w:tcW w:w="1651" w:type="dxa"/>
          </w:tcPr>
          <w:p w:rsidR="007C64B4" w:rsidRPr="006051F7" w:rsidRDefault="007C64B4" w:rsidP="007C64B4">
            <w:pPr>
              <w:jc w:val="center"/>
              <w:rPr>
                <w:sz w:val="22"/>
                <w:lang w:val="en-GB"/>
              </w:rPr>
            </w:pPr>
            <w:r w:rsidRPr="00042EBE">
              <w:rPr>
                <w:sz w:val="22"/>
                <w:szCs w:val="22"/>
                <w:lang w:val="en-GB"/>
              </w:rPr>
              <w:t>6</w:t>
            </w:r>
          </w:p>
        </w:tc>
      </w:tr>
      <w:tr w:rsidR="007C64B4" w:rsidRPr="00C745E9" w:rsidTr="007C64B4">
        <w:trPr>
          <w:jc w:val="center"/>
        </w:trPr>
        <w:tc>
          <w:tcPr>
            <w:tcW w:w="2268" w:type="dxa"/>
          </w:tcPr>
          <w:p w:rsidR="007C64B4" w:rsidRPr="006051F7" w:rsidRDefault="007C64B4" w:rsidP="007C64B4">
            <w:pPr>
              <w:rPr>
                <w:sz w:val="22"/>
                <w:lang w:val="en-GB"/>
              </w:rPr>
            </w:pPr>
            <w:r w:rsidRPr="00042EBE">
              <w:rPr>
                <w:sz w:val="22"/>
                <w:szCs w:val="22"/>
                <w:lang w:val="en-GB"/>
              </w:rPr>
              <w:t>Refuelling facilities</w:t>
            </w:r>
          </w:p>
        </w:tc>
        <w:tc>
          <w:tcPr>
            <w:tcW w:w="1842" w:type="dxa"/>
          </w:tcPr>
          <w:p w:rsidR="007C64B4" w:rsidRPr="006051F7" w:rsidRDefault="007C64B4" w:rsidP="007C64B4">
            <w:pPr>
              <w:jc w:val="center"/>
              <w:rPr>
                <w:sz w:val="22"/>
                <w:lang w:val="en-GB"/>
              </w:rPr>
            </w:pPr>
            <w:r w:rsidRPr="00042EBE">
              <w:rPr>
                <w:sz w:val="22"/>
                <w:szCs w:val="22"/>
                <w:lang w:val="en-GB"/>
              </w:rPr>
              <w:t>14</w:t>
            </w:r>
          </w:p>
        </w:tc>
        <w:tc>
          <w:tcPr>
            <w:tcW w:w="1657" w:type="dxa"/>
          </w:tcPr>
          <w:p w:rsidR="007C64B4" w:rsidRPr="006051F7" w:rsidRDefault="007C64B4" w:rsidP="007C64B4">
            <w:pPr>
              <w:jc w:val="center"/>
              <w:rPr>
                <w:sz w:val="22"/>
                <w:lang w:val="en-GB"/>
              </w:rPr>
            </w:pPr>
            <w:r w:rsidRPr="00042EBE">
              <w:rPr>
                <w:sz w:val="22"/>
                <w:szCs w:val="22"/>
                <w:lang w:val="en-GB"/>
              </w:rPr>
              <w:t>0</w:t>
            </w:r>
          </w:p>
        </w:tc>
        <w:tc>
          <w:tcPr>
            <w:tcW w:w="1653" w:type="dxa"/>
          </w:tcPr>
          <w:p w:rsidR="007C64B4" w:rsidRPr="006051F7" w:rsidRDefault="007C64B4" w:rsidP="007C64B4">
            <w:pPr>
              <w:jc w:val="center"/>
              <w:rPr>
                <w:sz w:val="22"/>
                <w:lang w:val="en-GB"/>
              </w:rPr>
            </w:pPr>
            <w:r w:rsidRPr="00042EBE">
              <w:rPr>
                <w:sz w:val="22"/>
                <w:szCs w:val="22"/>
                <w:lang w:val="en-GB"/>
              </w:rPr>
              <w:t>2</w:t>
            </w:r>
          </w:p>
        </w:tc>
        <w:tc>
          <w:tcPr>
            <w:tcW w:w="1651" w:type="dxa"/>
          </w:tcPr>
          <w:p w:rsidR="007C64B4" w:rsidRPr="006051F7" w:rsidRDefault="007C64B4" w:rsidP="007C64B4">
            <w:pPr>
              <w:jc w:val="center"/>
              <w:rPr>
                <w:sz w:val="22"/>
                <w:lang w:val="en-GB"/>
              </w:rPr>
            </w:pPr>
            <w:r w:rsidRPr="00042EBE">
              <w:rPr>
                <w:sz w:val="22"/>
                <w:szCs w:val="22"/>
                <w:lang w:val="en-GB"/>
              </w:rPr>
              <w:t>14</w:t>
            </w:r>
          </w:p>
        </w:tc>
      </w:tr>
    </w:tbl>
    <w:p w:rsidR="007C64B4" w:rsidRPr="0027024B" w:rsidRDefault="007C64B4" w:rsidP="007C64B4">
      <w:pPr>
        <w:jc w:val="center"/>
        <w:rPr>
          <w:sz w:val="20"/>
          <w:lang w:val="en-GB"/>
        </w:rPr>
      </w:pPr>
      <w:r w:rsidRPr="00962306">
        <w:rPr>
          <w:sz w:val="20"/>
          <w:lang w:val="en-GB"/>
        </w:rPr>
        <w:t xml:space="preserve">Table </w:t>
      </w:r>
      <w:r w:rsidRPr="00096A00">
        <w:rPr>
          <w:sz w:val="20"/>
          <w:szCs w:val="20"/>
        </w:rPr>
        <w:fldChar w:fldCharType="begin"/>
      </w:r>
      <w:r w:rsidRPr="00096A00">
        <w:rPr>
          <w:sz w:val="20"/>
          <w:szCs w:val="20"/>
          <w:lang w:val="en-US"/>
        </w:rPr>
        <w:instrText xml:space="preserve"> SEQ Table \* ARABIC </w:instrText>
      </w:r>
      <w:r w:rsidRPr="00096A00">
        <w:rPr>
          <w:sz w:val="20"/>
          <w:szCs w:val="20"/>
        </w:rPr>
        <w:fldChar w:fldCharType="separate"/>
      </w:r>
      <w:r w:rsidR="0099201F">
        <w:rPr>
          <w:noProof/>
          <w:sz w:val="20"/>
          <w:szCs w:val="20"/>
          <w:lang w:val="en-US"/>
        </w:rPr>
        <w:t>19</w:t>
      </w:r>
      <w:r w:rsidRPr="00096A00">
        <w:rPr>
          <w:sz w:val="20"/>
          <w:szCs w:val="20"/>
        </w:rPr>
        <w:fldChar w:fldCharType="end"/>
      </w:r>
      <w:r w:rsidRPr="00096A00">
        <w:rPr>
          <w:sz w:val="20"/>
          <w:szCs w:val="20"/>
          <w:lang w:val="en-US"/>
        </w:rPr>
        <w:t>:</w:t>
      </w:r>
      <w:r w:rsidRPr="00A96026">
        <w:rPr>
          <w:sz w:val="20"/>
          <w:lang w:val="en-GB"/>
        </w:rPr>
        <w:t xml:space="preserve"> No of service facilities in </w:t>
      </w:r>
      <w:r w:rsidRPr="00334AA3">
        <w:rPr>
          <w:sz w:val="20"/>
          <w:lang w:val="en-GB"/>
        </w:rPr>
        <w:t>Norway according to the market monitoring survey</w:t>
      </w:r>
      <w:r w:rsidRPr="0006175C">
        <w:rPr>
          <w:sz w:val="20"/>
          <w:lang w:val="en-GB"/>
        </w:rPr>
        <w:t xml:space="preserve"> of IRG-Rail 2016</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57" w:name="__RefHeading__5343_1151380434"/>
      <w:bookmarkStart w:id="58" w:name="_Toc494177963"/>
      <w:bookmarkStart w:id="59" w:name="_Toc495652240"/>
      <w:bookmarkStart w:id="60" w:name="_Toc496702666"/>
      <w:bookmarkEnd w:id="57"/>
      <w:proofErr w:type="spellStart"/>
      <w:r w:rsidRPr="0046443F">
        <w:rPr>
          <w:rFonts w:ascii="Times New Roman" w:hAnsi="Times New Roman" w:cs="Times New Roman"/>
          <w:b/>
          <w:color w:val="auto"/>
          <w:sz w:val="24"/>
          <w:szCs w:val="24"/>
        </w:rPr>
        <w:t>Poland</w:t>
      </w:r>
      <w:bookmarkEnd w:id="58"/>
      <w:bookmarkEnd w:id="59"/>
      <w:bookmarkEnd w:id="60"/>
      <w:proofErr w:type="spellEnd"/>
    </w:p>
    <w:tbl>
      <w:tblPr>
        <w:tblStyle w:val="Grilledutableau"/>
        <w:tblW w:w="9124" w:type="dxa"/>
        <w:jc w:val="center"/>
        <w:tblLook w:val="04A0" w:firstRow="1" w:lastRow="0" w:firstColumn="1" w:lastColumn="0" w:noHBand="0" w:noVBand="1"/>
      </w:tblPr>
      <w:tblGrid>
        <w:gridCol w:w="2268"/>
        <w:gridCol w:w="1842"/>
        <w:gridCol w:w="1671"/>
        <w:gridCol w:w="1670"/>
        <w:gridCol w:w="1673"/>
      </w:tblGrid>
      <w:tr w:rsidR="007C64B4" w:rsidRPr="00282239" w:rsidTr="007C64B4">
        <w:trPr>
          <w:jc w:val="center"/>
        </w:trPr>
        <w:tc>
          <w:tcPr>
            <w:tcW w:w="9124" w:type="dxa"/>
            <w:gridSpan w:val="5"/>
          </w:tcPr>
          <w:p w:rsidR="007C64B4" w:rsidRPr="00C745E9" w:rsidRDefault="007C64B4" w:rsidP="007C64B4">
            <w:pPr>
              <w:jc w:val="center"/>
              <w:rPr>
                <w:lang w:val="en-GB"/>
              </w:rPr>
            </w:pPr>
            <w:r>
              <w:rPr>
                <w:lang w:val="en-US"/>
              </w:rPr>
              <w:t>Service facilities in Poland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7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70" w:type="dxa"/>
          </w:tcPr>
          <w:p w:rsidR="007C64B4" w:rsidRPr="005508A1"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68" w:type="dxa"/>
          </w:tcPr>
          <w:p w:rsidR="007C64B4" w:rsidRPr="005508A1"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C745E9" w:rsidTr="007C64B4">
        <w:trPr>
          <w:jc w:val="center"/>
        </w:trPr>
        <w:tc>
          <w:tcPr>
            <w:tcW w:w="2268" w:type="dxa"/>
          </w:tcPr>
          <w:p w:rsidR="007C64B4" w:rsidRPr="00C745E9" w:rsidRDefault="007C64B4" w:rsidP="007C64B4">
            <w:pPr>
              <w:rPr>
                <w:lang w:val="en-GB"/>
              </w:rPr>
            </w:pPr>
            <w:r w:rsidRPr="00C745E9">
              <w:rPr>
                <w:sz w:val="22"/>
                <w:szCs w:val="22"/>
                <w:lang w:val="en-GB"/>
              </w:rPr>
              <w:t>Passenger stations</w:t>
            </w:r>
          </w:p>
        </w:tc>
        <w:tc>
          <w:tcPr>
            <w:tcW w:w="1842" w:type="dxa"/>
          </w:tcPr>
          <w:p w:rsidR="007C64B4" w:rsidRPr="00C745E9" w:rsidRDefault="007C64B4" w:rsidP="007C64B4">
            <w:pPr>
              <w:jc w:val="center"/>
              <w:rPr>
                <w:lang w:val="en-GB"/>
              </w:rPr>
            </w:pPr>
            <w:r>
              <w:rPr>
                <w:sz w:val="22"/>
                <w:szCs w:val="22"/>
                <w:lang w:val="en-GB"/>
              </w:rPr>
              <w:t>2.718</w:t>
            </w:r>
          </w:p>
        </w:tc>
        <w:tc>
          <w:tcPr>
            <w:tcW w:w="1671" w:type="dxa"/>
          </w:tcPr>
          <w:p w:rsidR="007C64B4" w:rsidRPr="00C745E9" w:rsidRDefault="007C64B4" w:rsidP="007C64B4">
            <w:pPr>
              <w:jc w:val="center"/>
              <w:rPr>
                <w:lang w:val="en-GB"/>
              </w:rPr>
            </w:pPr>
            <w:r>
              <w:rPr>
                <w:sz w:val="22"/>
                <w:szCs w:val="22"/>
                <w:lang w:val="en-GB"/>
              </w:rPr>
              <w:t>47</w:t>
            </w:r>
          </w:p>
        </w:tc>
        <w:tc>
          <w:tcPr>
            <w:tcW w:w="1670" w:type="dxa"/>
          </w:tcPr>
          <w:p w:rsidR="007C64B4" w:rsidRPr="00C745E9" w:rsidRDefault="007C64B4" w:rsidP="007C64B4">
            <w:pPr>
              <w:jc w:val="center"/>
              <w:rPr>
                <w:lang w:val="en-GB"/>
              </w:rPr>
            </w:pPr>
            <w:r>
              <w:rPr>
                <w:sz w:val="22"/>
                <w:szCs w:val="22"/>
                <w:lang w:val="en-GB"/>
              </w:rPr>
              <w:t>0</w:t>
            </w:r>
          </w:p>
        </w:tc>
        <w:tc>
          <w:tcPr>
            <w:tcW w:w="1668" w:type="dxa"/>
          </w:tcPr>
          <w:p w:rsidR="007C64B4" w:rsidRPr="00C745E9" w:rsidRDefault="007C64B4" w:rsidP="007C64B4">
            <w:pPr>
              <w:jc w:val="center"/>
              <w:rPr>
                <w:lang w:val="en-GB"/>
              </w:rPr>
            </w:pPr>
            <w:r>
              <w:rPr>
                <w:sz w:val="22"/>
                <w:szCs w:val="22"/>
                <w:lang w:val="en-GB"/>
              </w:rPr>
              <w:t>4</w:t>
            </w:r>
          </w:p>
        </w:tc>
      </w:tr>
      <w:tr w:rsidR="007C64B4" w:rsidRPr="00C745E9" w:rsidTr="007C64B4">
        <w:trPr>
          <w:jc w:val="center"/>
        </w:trPr>
        <w:tc>
          <w:tcPr>
            <w:tcW w:w="2268" w:type="dxa"/>
          </w:tcPr>
          <w:p w:rsidR="007C64B4" w:rsidRPr="00C745E9" w:rsidRDefault="007C64B4" w:rsidP="007C64B4">
            <w:pPr>
              <w:rPr>
                <w:lang w:val="en-GB"/>
              </w:rPr>
            </w:pPr>
            <w:r w:rsidRPr="00C745E9">
              <w:rPr>
                <w:sz w:val="22"/>
                <w:szCs w:val="22"/>
                <w:lang w:val="en-GB"/>
              </w:rPr>
              <w:t>Intermodal freight terminals</w:t>
            </w:r>
          </w:p>
        </w:tc>
        <w:tc>
          <w:tcPr>
            <w:tcW w:w="1842" w:type="dxa"/>
            <w:vAlign w:val="bottom"/>
          </w:tcPr>
          <w:p w:rsidR="007C64B4" w:rsidRPr="00C745E9" w:rsidRDefault="007C64B4" w:rsidP="007C64B4">
            <w:pPr>
              <w:jc w:val="center"/>
              <w:rPr>
                <w:lang w:val="en-GB"/>
              </w:rPr>
            </w:pPr>
            <w:r>
              <w:rPr>
                <w:sz w:val="22"/>
                <w:szCs w:val="22"/>
                <w:lang w:val="en-GB"/>
              </w:rPr>
              <w:t>5</w:t>
            </w:r>
          </w:p>
        </w:tc>
        <w:tc>
          <w:tcPr>
            <w:tcW w:w="1671" w:type="dxa"/>
            <w:vAlign w:val="bottom"/>
          </w:tcPr>
          <w:p w:rsidR="007C64B4" w:rsidRPr="00C745E9" w:rsidRDefault="007C64B4" w:rsidP="007C64B4">
            <w:pPr>
              <w:jc w:val="center"/>
              <w:rPr>
                <w:lang w:val="en-GB"/>
              </w:rPr>
            </w:pPr>
            <w:r>
              <w:rPr>
                <w:sz w:val="22"/>
                <w:szCs w:val="22"/>
                <w:lang w:val="en-GB"/>
              </w:rPr>
              <w:t>0</w:t>
            </w:r>
          </w:p>
        </w:tc>
        <w:tc>
          <w:tcPr>
            <w:tcW w:w="1670" w:type="dxa"/>
            <w:vAlign w:val="bottom"/>
          </w:tcPr>
          <w:p w:rsidR="007C64B4" w:rsidRPr="00C745E9" w:rsidRDefault="007C64B4" w:rsidP="007C64B4">
            <w:pPr>
              <w:jc w:val="center"/>
              <w:rPr>
                <w:lang w:val="en-GB"/>
              </w:rPr>
            </w:pPr>
            <w:r>
              <w:rPr>
                <w:sz w:val="22"/>
                <w:szCs w:val="22"/>
                <w:lang w:val="en-GB"/>
              </w:rPr>
              <w:t>10</w:t>
            </w:r>
          </w:p>
        </w:tc>
        <w:tc>
          <w:tcPr>
            <w:tcW w:w="1668" w:type="dxa"/>
            <w:vAlign w:val="bottom"/>
          </w:tcPr>
          <w:p w:rsidR="007C64B4" w:rsidRPr="00C745E9" w:rsidRDefault="007C64B4" w:rsidP="007C64B4">
            <w:pPr>
              <w:jc w:val="center"/>
              <w:rPr>
                <w:lang w:val="en-GB"/>
              </w:rPr>
            </w:pPr>
            <w:r>
              <w:rPr>
                <w:sz w:val="22"/>
                <w:szCs w:val="22"/>
                <w:lang w:val="en-GB"/>
              </w:rPr>
              <w:t>16</w:t>
            </w:r>
          </w:p>
        </w:tc>
      </w:tr>
      <w:tr w:rsidR="007C64B4" w:rsidRPr="00E9349B" w:rsidTr="007C64B4">
        <w:trPr>
          <w:jc w:val="center"/>
        </w:trPr>
        <w:tc>
          <w:tcPr>
            <w:tcW w:w="2268" w:type="dxa"/>
          </w:tcPr>
          <w:p w:rsidR="007C64B4" w:rsidRPr="00C745E9" w:rsidRDefault="007C64B4" w:rsidP="007C64B4">
            <w:pPr>
              <w:rPr>
                <w:lang w:val="en-GB"/>
              </w:rPr>
            </w:pPr>
            <w:r w:rsidRPr="00C745E9">
              <w:rPr>
                <w:sz w:val="22"/>
                <w:szCs w:val="22"/>
                <w:lang w:val="en-GB"/>
              </w:rPr>
              <w:t>Marshalling yards with gravity hills</w:t>
            </w:r>
          </w:p>
        </w:tc>
        <w:tc>
          <w:tcPr>
            <w:tcW w:w="1842" w:type="dxa"/>
          </w:tcPr>
          <w:p w:rsidR="007C64B4" w:rsidRPr="00C745E9" w:rsidRDefault="007C64B4" w:rsidP="007C64B4">
            <w:pPr>
              <w:jc w:val="center"/>
              <w:rPr>
                <w:lang w:val="en-GB"/>
              </w:rPr>
            </w:pPr>
            <w:r>
              <w:rPr>
                <w:sz w:val="22"/>
                <w:szCs w:val="22"/>
                <w:lang w:val="en-GB"/>
              </w:rPr>
              <w:t>24</w:t>
            </w:r>
          </w:p>
        </w:tc>
        <w:tc>
          <w:tcPr>
            <w:tcW w:w="1671" w:type="dxa"/>
          </w:tcPr>
          <w:p w:rsidR="007C64B4" w:rsidRPr="00C745E9" w:rsidRDefault="007C64B4" w:rsidP="007C64B4">
            <w:pPr>
              <w:jc w:val="center"/>
              <w:rPr>
                <w:lang w:val="en-GB"/>
              </w:rPr>
            </w:pPr>
            <w:r>
              <w:rPr>
                <w:sz w:val="22"/>
                <w:szCs w:val="22"/>
                <w:lang w:val="en-GB"/>
              </w:rPr>
              <w:t>0</w:t>
            </w:r>
          </w:p>
        </w:tc>
        <w:tc>
          <w:tcPr>
            <w:tcW w:w="1670" w:type="dxa"/>
          </w:tcPr>
          <w:p w:rsidR="007C64B4" w:rsidRPr="00C745E9" w:rsidRDefault="007C64B4" w:rsidP="007C64B4">
            <w:pPr>
              <w:jc w:val="center"/>
              <w:rPr>
                <w:lang w:val="en-GB"/>
              </w:rPr>
            </w:pPr>
            <w:r>
              <w:rPr>
                <w:sz w:val="22"/>
                <w:szCs w:val="22"/>
                <w:lang w:val="en-GB"/>
              </w:rPr>
              <w:t>0</w:t>
            </w:r>
          </w:p>
        </w:tc>
        <w:tc>
          <w:tcPr>
            <w:tcW w:w="1668" w:type="dxa"/>
          </w:tcPr>
          <w:p w:rsidR="007C64B4" w:rsidRPr="00C745E9" w:rsidRDefault="007C64B4" w:rsidP="007C64B4">
            <w:pPr>
              <w:jc w:val="center"/>
              <w:rPr>
                <w:lang w:val="en-GB"/>
              </w:rPr>
            </w:pPr>
            <w:r>
              <w:rPr>
                <w:sz w:val="22"/>
                <w:szCs w:val="22"/>
                <w:lang w:val="en-GB"/>
              </w:rPr>
              <w:t>0</w:t>
            </w:r>
          </w:p>
        </w:tc>
      </w:tr>
      <w:tr w:rsidR="007C64B4" w:rsidRPr="00C745E9" w:rsidTr="007C64B4">
        <w:trPr>
          <w:jc w:val="center"/>
        </w:trPr>
        <w:tc>
          <w:tcPr>
            <w:tcW w:w="2268" w:type="dxa"/>
          </w:tcPr>
          <w:p w:rsidR="007C64B4" w:rsidRPr="00C745E9" w:rsidRDefault="007C64B4" w:rsidP="007C64B4">
            <w:pPr>
              <w:rPr>
                <w:lang w:val="en-GB"/>
              </w:rPr>
            </w:pPr>
            <w:r w:rsidRPr="00C745E9">
              <w:rPr>
                <w:sz w:val="22"/>
                <w:szCs w:val="22"/>
                <w:lang w:val="en-GB"/>
              </w:rPr>
              <w:t>Maintenance facilities</w:t>
            </w:r>
          </w:p>
        </w:tc>
        <w:tc>
          <w:tcPr>
            <w:tcW w:w="1842" w:type="dxa"/>
          </w:tcPr>
          <w:p w:rsidR="007C64B4" w:rsidRDefault="007C64B4" w:rsidP="007C64B4">
            <w:pPr>
              <w:jc w:val="center"/>
            </w:pPr>
            <w:r w:rsidRPr="00A82E8A">
              <w:rPr>
                <w:sz w:val="22"/>
                <w:szCs w:val="22"/>
                <w:lang w:val="en-GB"/>
              </w:rPr>
              <w:t>N/A</w:t>
            </w:r>
          </w:p>
        </w:tc>
        <w:tc>
          <w:tcPr>
            <w:tcW w:w="1671" w:type="dxa"/>
          </w:tcPr>
          <w:p w:rsidR="007C64B4" w:rsidRDefault="007C64B4" w:rsidP="007C64B4">
            <w:pPr>
              <w:jc w:val="center"/>
            </w:pPr>
            <w:r w:rsidRPr="00A82E8A">
              <w:rPr>
                <w:sz w:val="22"/>
                <w:szCs w:val="22"/>
                <w:lang w:val="en-GB"/>
              </w:rPr>
              <w:t>N/A</w:t>
            </w:r>
          </w:p>
        </w:tc>
        <w:tc>
          <w:tcPr>
            <w:tcW w:w="1670" w:type="dxa"/>
          </w:tcPr>
          <w:p w:rsidR="007C64B4" w:rsidRDefault="007C64B4" w:rsidP="007C64B4">
            <w:pPr>
              <w:jc w:val="center"/>
            </w:pPr>
            <w:r w:rsidRPr="00A82E8A">
              <w:rPr>
                <w:sz w:val="22"/>
                <w:szCs w:val="22"/>
                <w:lang w:val="en-GB"/>
              </w:rPr>
              <w:t>N/A</w:t>
            </w:r>
          </w:p>
        </w:tc>
        <w:tc>
          <w:tcPr>
            <w:tcW w:w="1668" w:type="dxa"/>
          </w:tcPr>
          <w:p w:rsidR="007C64B4" w:rsidRDefault="007C64B4" w:rsidP="007C64B4">
            <w:pPr>
              <w:jc w:val="center"/>
            </w:pPr>
            <w:r w:rsidRPr="00A82E8A">
              <w:rPr>
                <w:sz w:val="22"/>
                <w:szCs w:val="22"/>
                <w:lang w:val="en-GB"/>
              </w:rPr>
              <w:t>N/A</w:t>
            </w:r>
          </w:p>
        </w:tc>
      </w:tr>
      <w:tr w:rsidR="007C64B4" w:rsidRPr="00C745E9" w:rsidTr="007C64B4">
        <w:trPr>
          <w:jc w:val="center"/>
        </w:trPr>
        <w:tc>
          <w:tcPr>
            <w:tcW w:w="2268" w:type="dxa"/>
          </w:tcPr>
          <w:p w:rsidR="007C64B4" w:rsidRPr="00C745E9" w:rsidRDefault="007C64B4" w:rsidP="007C64B4">
            <w:pPr>
              <w:rPr>
                <w:lang w:val="en-GB"/>
              </w:rPr>
            </w:pPr>
            <w:r w:rsidRPr="00C745E9">
              <w:rPr>
                <w:sz w:val="22"/>
                <w:szCs w:val="22"/>
                <w:lang w:val="en-GB"/>
              </w:rPr>
              <w:t>Refuelling facilities</w:t>
            </w:r>
          </w:p>
        </w:tc>
        <w:tc>
          <w:tcPr>
            <w:tcW w:w="1842" w:type="dxa"/>
          </w:tcPr>
          <w:p w:rsidR="007C64B4" w:rsidRPr="00C745E9" w:rsidRDefault="007C64B4" w:rsidP="007C64B4">
            <w:pPr>
              <w:jc w:val="center"/>
              <w:rPr>
                <w:lang w:val="en-GB"/>
              </w:rPr>
            </w:pPr>
            <w:r>
              <w:rPr>
                <w:sz w:val="22"/>
                <w:szCs w:val="22"/>
                <w:lang w:val="en-GB"/>
              </w:rPr>
              <w:t>28</w:t>
            </w:r>
          </w:p>
        </w:tc>
        <w:tc>
          <w:tcPr>
            <w:tcW w:w="1671" w:type="dxa"/>
          </w:tcPr>
          <w:p w:rsidR="007C64B4" w:rsidRPr="00C745E9" w:rsidRDefault="007C64B4" w:rsidP="007C64B4">
            <w:pPr>
              <w:jc w:val="center"/>
              <w:rPr>
                <w:lang w:val="en-GB"/>
              </w:rPr>
            </w:pPr>
            <w:r>
              <w:rPr>
                <w:sz w:val="22"/>
                <w:szCs w:val="22"/>
                <w:lang w:val="en-GB"/>
              </w:rPr>
              <w:t>1</w:t>
            </w:r>
          </w:p>
        </w:tc>
        <w:tc>
          <w:tcPr>
            <w:tcW w:w="1670" w:type="dxa"/>
          </w:tcPr>
          <w:p w:rsidR="007C64B4" w:rsidRPr="00C745E9" w:rsidRDefault="007C64B4" w:rsidP="007C64B4">
            <w:pPr>
              <w:jc w:val="center"/>
              <w:rPr>
                <w:lang w:val="en-GB"/>
              </w:rPr>
            </w:pPr>
            <w:r>
              <w:rPr>
                <w:sz w:val="22"/>
                <w:szCs w:val="22"/>
                <w:lang w:val="en-GB"/>
              </w:rPr>
              <w:t>71</w:t>
            </w:r>
          </w:p>
        </w:tc>
        <w:tc>
          <w:tcPr>
            <w:tcW w:w="1668" w:type="dxa"/>
          </w:tcPr>
          <w:p w:rsidR="007C64B4" w:rsidRPr="00C745E9" w:rsidRDefault="007C64B4" w:rsidP="007C64B4">
            <w:pPr>
              <w:jc w:val="center"/>
              <w:rPr>
                <w:lang w:val="en-GB"/>
              </w:rPr>
            </w:pPr>
            <w:r>
              <w:rPr>
                <w:sz w:val="22"/>
                <w:szCs w:val="22"/>
                <w:lang w:val="en-GB"/>
              </w:rPr>
              <w:t>0</w:t>
            </w:r>
          </w:p>
        </w:tc>
      </w:tr>
    </w:tbl>
    <w:p w:rsidR="007C64B4" w:rsidRPr="00962306" w:rsidRDefault="007C64B4" w:rsidP="007C64B4">
      <w:pPr>
        <w:pStyle w:val="Lgende"/>
        <w:jc w:val="center"/>
        <w:rPr>
          <w:b w:val="0"/>
          <w:color w:val="auto"/>
          <w:sz w:val="20"/>
          <w:lang w:val="en-GB"/>
        </w:rPr>
      </w:pPr>
      <w:r w:rsidRPr="00962306">
        <w:rPr>
          <w:b w:val="0"/>
          <w:color w:val="auto"/>
          <w:sz w:val="20"/>
          <w:lang w:val="en-GB"/>
        </w:rPr>
        <w:t xml:space="preserve">Table </w:t>
      </w:r>
      <w:r w:rsidRPr="00096A00">
        <w:rPr>
          <w:b w:val="0"/>
          <w:color w:val="auto"/>
          <w:sz w:val="20"/>
          <w:szCs w:val="20"/>
        </w:rPr>
        <w:fldChar w:fldCharType="begin"/>
      </w:r>
      <w:r w:rsidRPr="00096A00">
        <w:rPr>
          <w:b w:val="0"/>
          <w:color w:val="auto"/>
          <w:sz w:val="20"/>
          <w:szCs w:val="20"/>
          <w:lang w:val="en-US"/>
        </w:rPr>
        <w:instrText xml:space="preserve"> SEQ Table \* ARABIC </w:instrText>
      </w:r>
      <w:r w:rsidRPr="00096A00">
        <w:rPr>
          <w:b w:val="0"/>
          <w:color w:val="auto"/>
          <w:sz w:val="20"/>
          <w:szCs w:val="20"/>
        </w:rPr>
        <w:fldChar w:fldCharType="separate"/>
      </w:r>
      <w:r w:rsidR="0099201F">
        <w:rPr>
          <w:b w:val="0"/>
          <w:noProof/>
          <w:color w:val="auto"/>
          <w:sz w:val="20"/>
          <w:szCs w:val="20"/>
          <w:lang w:val="en-US"/>
        </w:rPr>
        <w:t>20</w:t>
      </w:r>
      <w:r w:rsidRPr="00096A00">
        <w:rPr>
          <w:b w:val="0"/>
          <w:color w:val="auto"/>
          <w:sz w:val="20"/>
          <w:szCs w:val="20"/>
        </w:rPr>
        <w:fldChar w:fldCharType="end"/>
      </w:r>
      <w:r w:rsidRPr="00096A00">
        <w:rPr>
          <w:b w:val="0"/>
          <w:color w:val="auto"/>
          <w:sz w:val="20"/>
          <w:szCs w:val="20"/>
          <w:lang w:val="en-US"/>
        </w:rPr>
        <w:t>:</w:t>
      </w:r>
      <w:r w:rsidRPr="00962306">
        <w:rPr>
          <w:b w:val="0"/>
          <w:color w:val="auto"/>
          <w:sz w:val="20"/>
          <w:lang w:val="en-GB"/>
        </w:rPr>
        <w:t xml:space="preserve"> No of service facilities in Poland according to the market monitoring survey of IRG-Rail 2016</w:t>
      </w:r>
    </w:p>
    <w:p w:rsidR="007C64B4" w:rsidRDefault="007C64B4" w:rsidP="007C64B4">
      <w:pPr>
        <w:rPr>
          <w:sz w:val="22"/>
          <w:szCs w:val="22"/>
          <w:lang w:val="en-GB" w:eastAsia="en-US"/>
        </w:rPr>
      </w:pPr>
      <w:r w:rsidRPr="004816A1">
        <w:rPr>
          <w:lang w:val="en-US"/>
        </w:rPr>
        <w:br w:type="page"/>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61" w:name="__RefHeading__5345_1151380434"/>
      <w:bookmarkStart w:id="62" w:name="_Toc494177964"/>
      <w:bookmarkStart w:id="63" w:name="_Toc495652241"/>
      <w:bookmarkStart w:id="64" w:name="_Toc496702667"/>
      <w:bookmarkEnd w:id="61"/>
      <w:r w:rsidRPr="0046443F">
        <w:rPr>
          <w:rFonts w:ascii="Times New Roman" w:hAnsi="Times New Roman" w:cs="Times New Roman"/>
          <w:b/>
          <w:color w:val="auto"/>
          <w:sz w:val="24"/>
          <w:szCs w:val="24"/>
        </w:rPr>
        <w:lastRenderedPageBreak/>
        <w:t>Portugal</w:t>
      </w:r>
      <w:bookmarkEnd w:id="62"/>
      <w:bookmarkEnd w:id="63"/>
      <w:bookmarkEnd w:id="64"/>
    </w:p>
    <w:tbl>
      <w:tblPr>
        <w:tblStyle w:val="Grilledutableau"/>
        <w:tblW w:w="9124" w:type="dxa"/>
        <w:jc w:val="center"/>
        <w:tblLook w:val="04A0" w:firstRow="1" w:lastRow="0" w:firstColumn="1" w:lastColumn="0" w:noHBand="0" w:noVBand="1"/>
      </w:tblPr>
      <w:tblGrid>
        <w:gridCol w:w="2268"/>
        <w:gridCol w:w="1842"/>
        <w:gridCol w:w="1671"/>
        <w:gridCol w:w="1670"/>
        <w:gridCol w:w="1673"/>
      </w:tblGrid>
      <w:tr w:rsidR="007C64B4" w:rsidRPr="00282239" w:rsidTr="007C64B4">
        <w:trPr>
          <w:jc w:val="center"/>
        </w:trPr>
        <w:tc>
          <w:tcPr>
            <w:tcW w:w="9124" w:type="dxa"/>
            <w:gridSpan w:val="5"/>
          </w:tcPr>
          <w:p w:rsidR="007C64B4" w:rsidRPr="00C745E9" w:rsidRDefault="007C64B4" w:rsidP="007C64B4">
            <w:pPr>
              <w:jc w:val="center"/>
              <w:rPr>
                <w:lang w:val="en-GB"/>
              </w:rPr>
            </w:pPr>
            <w:r>
              <w:rPr>
                <w:lang w:val="en-US"/>
              </w:rPr>
              <w:t>Service facilities in Portugal in 2015</w:t>
            </w:r>
            <w:r>
              <w:rPr>
                <w:rStyle w:val="Appelnotedebasdep"/>
                <w:lang w:val="en-US"/>
              </w:rPr>
              <w:footnoteReference w:id="48"/>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7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70" w:type="dxa"/>
          </w:tcPr>
          <w:p w:rsidR="007C64B4" w:rsidRPr="00962306"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73" w:type="dxa"/>
          </w:tcPr>
          <w:p w:rsidR="007C64B4" w:rsidRPr="00962306"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2" w:type="dxa"/>
          </w:tcPr>
          <w:p w:rsidR="007C64B4" w:rsidRPr="00FD4AEC" w:rsidRDefault="007C64B4" w:rsidP="007C64B4">
            <w:pPr>
              <w:jc w:val="center"/>
              <w:rPr>
                <w:sz w:val="22"/>
                <w:szCs w:val="22"/>
                <w:lang w:val="en-GB"/>
              </w:rPr>
            </w:pPr>
            <w:r w:rsidRPr="00FD4AEC">
              <w:rPr>
                <w:sz w:val="22"/>
                <w:szCs w:val="22"/>
                <w:lang w:val="en-GB"/>
              </w:rPr>
              <w:t>0</w:t>
            </w:r>
          </w:p>
        </w:tc>
        <w:tc>
          <w:tcPr>
            <w:tcW w:w="1671" w:type="dxa"/>
          </w:tcPr>
          <w:p w:rsidR="007C64B4" w:rsidRPr="00FD4AEC" w:rsidRDefault="007C64B4" w:rsidP="007C64B4">
            <w:pPr>
              <w:jc w:val="center"/>
              <w:rPr>
                <w:sz w:val="22"/>
                <w:szCs w:val="22"/>
                <w:lang w:val="en-GB"/>
              </w:rPr>
            </w:pPr>
            <w:r w:rsidRPr="00FD4AEC">
              <w:rPr>
                <w:sz w:val="22"/>
                <w:szCs w:val="22"/>
                <w:lang w:val="en-GB"/>
              </w:rPr>
              <w:t>565</w:t>
            </w:r>
            <w:r w:rsidRPr="00FD4AEC">
              <w:rPr>
                <w:rStyle w:val="Appelnotedebasdep"/>
                <w:sz w:val="22"/>
                <w:szCs w:val="22"/>
                <w:lang w:val="en-GB"/>
              </w:rPr>
              <w:footnoteReference w:id="49"/>
            </w:r>
          </w:p>
        </w:tc>
        <w:tc>
          <w:tcPr>
            <w:tcW w:w="1670" w:type="dxa"/>
          </w:tcPr>
          <w:p w:rsidR="007C64B4" w:rsidRPr="00FD4AEC" w:rsidRDefault="007C64B4" w:rsidP="007C64B4">
            <w:pPr>
              <w:jc w:val="center"/>
              <w:rPr>
                <w:sz w:val="22"/>
                <w:szCs w:val="22"/>
                <w:lang w:val="en-GB"/>
              </w:rPr>
            </w:pPr>
            <w:r w:rsidRPr="00FD4AEC">
              <w:rPr>
                <w:sz w:val="22"/>
                <w:szCs w:val="22"/>
                <w:lang w:val="en-GB"/>
              </w:rPr>
              <w:t>6</w:t>
            </w:r>
          </w:p>
        </w:tc>
        <w:tc>
          <w:tcPr>
            <w:tcW w:w="1673" w:type="dxa"/>
          </w:tcPr>
          <w:p w:rsidR="007C64B4" w:rsidRPr="00FD4AEC" w:rsidRDefault="007C64B4" w:rsidP="007C64B4">
            <w:pPr>
              <w:jc w:val="center"/>
              <w:rPr>
                <w:sz w:val="22"/>
                <w:szCs w:val="22"/>
                <w:lang w:val="en-GB"/>
              </w:rPr>
            </w:pPr>
            <w:r w:rsidRPr="00FD4AEC">
              <w:rPr>
                <w:sz w:val="22"/>
                <w:szCs w:val="22"/>
                <w:lang w:val="en-GB"/>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842" w:type="dxa"/>
            <w:vAlign w:val="bottom"/>
          </w:tcPr>
          <w:p w:rsidR="007C64B4" w:rsidRPr="00FD4AEC" w:rsidRDefault="007C64B4" w:rsidP="007C64B4">
            <w:pPr>
              <w:jc w:val="center"/>
              <w:rPr>
                <w:sz w:val="22"/>
                <w:szCs w:val="22"/>
                <w:lang w:val="en-GB"/>
              </w:rPr>
            </w:pPr>
            <w:r w:rsidRPr="00FD4AEC">
              <w:rPr>
                <w:sz w:val="22"/>
                <w:szCs w:val="22"/>
                <w:lang w:val="en-GB"/>
              </w:rPr>
              <w:t>0</w:t>
            </w:r>
          </w:p>
        </w:tc>
        <w:tc>
          <w:tcPr>
            <w:tcW w:w="1671" w:type="dxa"/>
            <w:vAlign w:val="bottom"/>
          </w:tcPr>
          <w:p w:rsidR="007C64B4" w:rsidRPr="00FD4AEC" w:rsidRDefault="007C64B4" w:rsidP="007C64B4">
            <w:pPr>
              <w:jc w:val="center"/>
              <w:rPr>
                <w:sz w:val="22"/>
                <w:szCs w:val="22"/>
                <w:lang w:val="en-GB"/>
              </w:rPr>
            </w:pPr>
            <w:r w:rsidRPr="00FD4AEC">
              <w:rPr>
                <w:sz w:val="22"/>
                <w:szCs w:val="22"/>
                <w:lang w:val="en-GB"/>
              </w:rPr>
              <w:t>9</w:t>
            </w:r>
          </w:p>
        </w:tc>
        <w:tc>
          <w:tcPr>
            <w:tcW w:w="1670" w:type="dxa"/>
            <w:vAlign w:val="bottom"/>
          </w:tcPr>
          <w:p w:rsidR="007C64B4" w:rsidRPr="00FD4AEC" w:rsidRDefault="007C64B4" w:rsidP="007C64B4">
            <w:pPr>
              <w:jc w:val="center"/>
              <w:rPr>
                <w:sz w:val="22"/>
                <w:szCs w:val="22"/>
                <w:lang w:val="en-GB"/>
              </w:rPr>
            </w:pPr>
            <w:r w:rsidRPr="00FD4AEC">
              <w:rPr>
                <w:sz w:val="22"/>
                <w:szCs w:val="22"/>
                <w:lang w:val="en-GB"/>
              </w:rPr>
              <w:t>0</w:t>
            </w:r>
          </w:p>
        </w:tc>
        <w:tc>
          <w:tcPr>
            <w:tcW w:w="1673" w:type="dxa"/>
            <w:vAlign w:val="bottom"/>
          </w:tcPr>
          <w:p w:rsidR="007C64B4" w:rsidRPr="00FD4AEC" w:rsidRDefault="007C64B4" w:rsidP="007C64B4">
            <w:pPr>
              <w:jc w:val="center"/>
              <w:rPr>
                <w:sz w:val="22"/>
                <w:szCs w:val="22"/>
                <w:lang w:val="en-GB"/>
              </w:rPr>
            </w:pPr>
            <w:r w:rsidRPr="00FD4AEC">
              <w:rPr>
                <w:sz w:val="22"/>
                <w:szCs w:val="22"/>
                <w:lang w:val="en-GB"/>
              </w:rPr>
              <w:t>21</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842" w:type="dxa"/>
          </w:tcPr>
          <w:p w:rsidR="007C64B4" w:rsidRPr="00FD4AEC" w:rsidRDefault="007C64B4" w:rsidP="007C64B4">
            <w:pPr>
              <w:jc w:val="center"/>
              <w:rPr>
                <w:sz w:val="22"/>
                <w:szCs w:val="22"/>
                <w:lang w:val="en-GB"/>
              </w:rPr>
            </w:pPr>
            <w:r w:rsidRPr="00FD4AEC">
              <w:rPr>
                <w:sz w:val="22"/>
                <w:szCs w:val="22"/>
                <w:lang w:val="en-GB"/>
              </w:rPr>
              <w:t>0</w:t>
            </w:r>
          </w:p>
        </w:tc>
        <w:tc>
          <w:tcPr>
            <w:tcW w:w="1671" w:type="dxa"/>
          </w:tcPr>
          <w:p w:rsidR="007C64B4" w:rsidRPr="00FD4AEC" w:rsidRDefault="007C64B4" w:rsidP="007C64B4">
            <w:pPr>
              <w:jc w:val="center"/>
              <w:rPr>
                <w:sz w:val="22"/>
                <w:szCs w:val="22"/>
                <w:lang w:val="en-GB"/>
              </w:rPr>
            </w:pPr>
            <w:r w:rsidRPr="00FD4AEC">
              <w:rPr>
                <w:sz w:val="22"/>
                <w:szCs w:val="22"/>
                <w:lang w:val="en-GB"/>
              </w:rPr>
              <w:t>0</w:t>
            </w:r>
          </w:p>
        </w:tc>
        <w:tc>
          <w:tcPr>
            <w:tcW w:w="1670" w:type="dxa"/>
          </w:tcPr>
          <w:p w:rsidR="007C64B4" w:rsidRPr="00FD4AEC" w:rsidRDefault="007C64B4" w:rsidP="007C64B4">
            <w:pPr>
              <w:jc w:val="center"/>
              <w:rPr>
                <w:sz w:val="22"/>
                <w:szCs w:val="22"/>
                <w:lang w:val="en-GB"/>
              </w:rPr>
            </w:pPr>
            <w:r w:rsidRPr="00FD4AEC">
              <w:rPr>
                <w:sz w:val="22"/>
                <w:szCs w:val="22"/>
                <w:lang w:val="en-GB"/>
              </w:rPr>
              <w:t>0</w:t>
            </w:r>
          </w:p>
        </w:tc>
        <w:tc>
          <w:tcPr>
            <w:tcW w:w="1673" w:type="dxa"/>
          </w:tcPr>
          <w:p w:rsidR="007C64B4" w:rsidRPr="00FD4AEC" w:rsidRDefault="007C64B4" w:rsidP="007C64B4">
            <w:pPr>
              <w:jc w:val="center"/>
              <w:rPr>
                <w:sz w:val="22"/>
                <w:szCs w:val="22"/>
                <w:lang w:val="en-GB"/>
              </w:rPr>
            </w:pPr>
            <w:r w:rsidRPr="00FD4AEC">
              <w:rPr>
                <w:sz w:val="22"/>
                <w:szCs w:val="22"/>
                <w:lang w:val="en-GB"/>
              </w:rPr>
              <w:t>0</w:t>
            </w:r>
            <w:r w:rsidRPr="00FD4AEC">
              <w:rPr>
                <w:rStyle w:val="Appelnotedebasdep"/>
                <w:sz w:val="22"/>
                <w:szCs w:val="22"/>
                <w:lang w:val="en-GB"/>
              </w:rPr>
              <w:footnoteReference w:id="50"/>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2" w:type="dxa"/>
          </w:tcPr>
          <w:p w:rsidR="007C64B4" w:rsidRPr="00FD4AEC" w:rsidRDefault="007C64B4" w:rsidP="007C64B4">
            <w:pPr>
              <w:jc w:val="center"/>
              <w:rPr>
                <w:sz w:val="22"/>
                <w:szCs w:val="22"/>
                <w:lang w:val="en-GB"/>
              </w:rPr>
            </w:pPr>
            <w:r w:rsidRPr="00FD4AEC">
              <w:rPr>
                <w:sz w:val="22"/>
                <w:szCs w:val="22"/>
                <w:lang w:val="en-GB"/>
              </w:rPr>
              <w:t>10</w:t>
            </w:r>
          </w:p>
        </w:tc>
        <w:tc>
          <w:tcPr>
            <w:tcW w:w="1671" w:type="dxa"/>
          </w:tcPr>
          <w:p w:rsidR="007C64B4" w:rsidRPr="00FD4AEC" w:rsidRDefault="007C64B4" w:rsidP="007C64B4">
            <w:pPr>
              <w:jc w:val="center"/>
              <w:rPr>
                <w:sz w:val="22"/>
                <w:szCs w:val="22"/>
                <w:lang w:val="en-GB"/>
              </w:rPr>
            </w:pPr>
            <w:r w:rsidRPr="00FD4AEC">
              <w:rPr>
                <w:sz w:val="22"/>
                <w:szCs w:val="22"/>
                <w:lang w:val="en-GB"/>
              </w:rPr>
              <w:t>0</w:t>
            </w:r>
          </w:p>
        </w:tc>
        <w:tc>
          <w:tcPr>
            <w:tcW w:w="1670" w:type="dxa"/>
          </w:tcPr>
          <w:p w:rsidR="007C64B4" w:rsidRPr="00FD4AEC" w:rsidRDefault="007C64B4" w:rsidP="007C64B4">
            <w:pPr>
              <w:jc w:val="center"/>
              <w:rPr>
                <w:sz w:val="22"/>
                <w:szCs w:val="22"/>
                <w:lang w:val="en-GB"/>
              </w:rPr>
            </w:pPr>
            <w:r w:rsidRPr="00FD4AEC">
              <w:rPr>
                <w:sz w:val="22"/>
                <w:szCs w:val="22"/>
                <w:lang w:val="en-GB"/>
              </w:rPr>
              <w:t>1</w:t>
            </w:r>
          </w:p>
        </w:tc>
        <w:tc>
          <w:tcPr>
            <w:tcW w:w="1673" w:type="dxa"/>
          </w:tcPr>
          <w:p w:rsidR="007C64B4" w:rsidRPr="00FD4AEC" w:rsidRDefault="007C64B4" w:rsidP="007C64B4">
            <w:pPr>
              <w:jc w:val="center"/>
              <w:rPr>
                <w:sz w:val="22"/>
                <w:szCs w:val="22"/>
                <w:lang w:val="en-GB"/>
              </w:rPr>
            </w:pPr>
            <w:r w:rsidRPr="00FD4AEC">
              <w:rPr>
                <w:sz w:val="22"/>
                <w:szCs w:val="22"/>
                <w:lang w:val="en-GB"/>
              </w:rPr>
              <w:t>2</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2" w:type="dxa"/>
          </w:tcPr>
          <w:p w:rsidR="007C64B4" w:rsidRPr="00FD4AEC" w:rsidRDefault="007C64B4" w:rsidP="007C64B4">
            <w:pPr>
              <w:jc w:val="center"/>
              <w:rPr>
                <w:sz w:val="22"/>
                <w:szCs w:val="22"/>
                <w:lang w:val="en-GB"/>
              </w:rPr>
            </w:pPr>
            <w:r w:rsidRPr="00FD4AEC">
              <w:rPr>
                <w:sz w:val="22"/>
                <w:szCs w:val="22"/>
                <w:lang w:val="en-GB"/>
              </w:rPr>
              <w:t>9</w:t>
            </w:r>
          </w:p>
        </w:tc>
        <w:tc>
          <w:tcPr>
            <w:tcW w:w="1671" w:type="dxa"/>
          </w:tcPr>
          <w:p w:rsidR="007C64B4" w:rsidRPr="00FD4AEC" w:rsidRDefault="007C64B4" w:rsidP="007C64B4">
            <w:pPr>
              <w:jc w:val="center"/>
              <w:rPr>
                <w:sz w:val="22"/>
                <w:szCs w:val="22"/>
                <w:lang w:val="en-GB"/>
              </w:rPr>
            </w:pPr>
            <w:r w:rsidRPr="00FD4AEC">
              <w:rPr>
                <w:sz w:val="22"/>
                <w:szCs w:val="22"/>
                <w:lang w:val="en-GB"/>
              </w:rPr>
              <w:t>0</w:t>
            </w:r>
          </w:p>
        </w:tc>
        <w:tc>
          <w:tcPr>
            <w:tcW w:w="1670" w:type="dxa"/>
          </w:tcPr>
          <w:p w:rsidR="007C64B4" w:rsidRPr="00FD4AEC" w:rsidRDefault="007C64B4" w:rsidP="007C64B4">
            <w:pPr>
              <w:jc w:val="center"/>
              <w:rPr>
                <w:sz w:val="22"/>
                <w:szCs w:val="22"/>
                <w:lang w:val="en-GB"/>
              </w:rPr>
            </w:pPr>
            <w:r w:rsidRPr="00FD4AEC">
              <w:rPr>
                <w:sz w:val="22"/>
                <w:szCs w:val="22"/>
                <w:lang w:val="en-GB"/>
              </w:rPr>
              <w:t>2</w:t>
            </w:r>
          </w:p>
        </w:tc>
        <w:tc>
          <w:tcPr>
            <w:tcW w:w="1673" w:type="dxa"/>
          </w:tcPr>
          <w:p w:rsidR="007C64B4" w:rsidRPr="00FD4AEC" w:rsidRDefault="007C64B4" w:rsidP="007C64B4">
            <w:pPr>
              <w:jc w:val="center"/>
              <w:rPr>
                <w:sz w:val="22"/>
                <w:szCs w:val="22"/>
                <w:lang w:val="en-GB"/>
              </w:rPr>
            </w:pPr>
            <w:r w:rsidRPr="00FD4AEC">
              <w:rPr>
                <w:sz w:val="22"/>
                <w:szCs w:val="22"/>
                <w:lang w:val="en-GB"/>
              </w:rPr>
              <w:t>0</w:t>
            </w:r>
          </w:p>
        </w:tc>
      </w:tr>
    </w:tbl>
    <w:p w:rsidR="007C64B4" w:rsidRPr="00962306" w:rsidRDefault="007C64B4" w:rsidP="007C64B4">
      <w:pPr>
        <w:jc w:val="center"/>
        <w:rPr>
          <w:sz w:val="22"/>
          <w:lang w:val="en-GB"/>
        </w:rPr>
      </w:pPr>
      <w:r w:rsidRPr="00962306">
        <w:rPr>
          <w:sz w:val="20"/>
          <w:lang w:val="en-GB"/>
        </w:rPr>
        <w:t xml:space="preserve">Table </w:t>
      </w:r>
      <w:r w:rsidRPr="00096A00">
        <w:rPr>
          <w:sz w:val="20"/>
          <w:szCs w:val="20"/>
        </w:rPr>
        <w:fldChar w:fldCharType="begin"/>
      </w:r>
      <w:r w:rsidRPr="00096A00">
        <w:rPr>
          <w:sz w:val="20"/>
          <w:szCs w:val="20"/>
          <w:lang w:val="en-US"/>
        </w:rPr>
        <w:instrText xml:space="preserve"> SEQ Table \* ARABIC </w:instrText>
      </w:r>
      <w:r w:rsidRPr="00096A00">
        <w:rPr>
          <w:sz w:val="20"/>
          <w:szCs w:val="20"/>
        </w:rPr>
        <w:fldChar w:fldCharType="separate"/>
      </w:r>
      <w:r w:rsidR="0099201F">
        <w:rPr>
          <w:noProof/>
          <w:sz w:val="20"/>
          <w:szCs w:val="20"/>
          <w:lang w:val="en-US"/>
        </w:rPr>
        <w:t>21</w:t>
      </w:r>
      <w:r w:rsidRPr="00096A00">
        <w:rPr>
          <w:sz w:val="20"/>
          <w:szCs w:val="20"/>
        </w:rPr>
        <w:fldChar w:fldCharType="end"/>
      </w:r>
      <w:r w:rsidRPr="00096A00">
        <w:rPr>
          <w:sz w:val="20"/>
          <w:szCs w:val="20"/>
          <w:lang w:val="en-US"/>
        </w:rPr>
        <w:t>:</w:t>
      </w:r>
      <w:r w:rsidRPr="00A96026">
        <w:rPr>
          <w:sz w:val="20"/>
          <w:lang w:val="en-GB"/>
        </w:rPr>
        <w:t xml:space="preserve"> No of service facilities in </w:t>
      </w:r>
      <w:r w:rsidRPr="00334AA3">
        <w:rPr>
          <w:sz w:val="20"/>
          <w:lang w:val="en-GB"/>
        </w:rPr>
        <w:t>Portugal</w:t>
      </w:r>
    </w:p>
    <w:p w:rsidR="007C64B4" w:rsidRPr="00042EBE" w:rsidRDefault="007C64B4" w:rsidP="007C64B4">
      <w:pPr>
        <w:pStyle w:val="Titre1"/>
        <w:spacing w:line="360" w:lineRule="auto"/>
        <w:ind w:left="709"/>
        <w:rPr>
          <w:rFonts w:ascii="Times New Roman" w:hAnsi="Times New Roman"/>
          <w:b/>
          <w:color w:val="auto"/>
          <w:sz w:val="24"/>
          <w:lang w:val="en-US"/>
        </w:rPr>
      </w:pPr>
      <w:bookmarkStart w:id="65" w:name="__RefHeading__5347_1151380434"/>
      <w:bookmarkStart w:id="66" w:name="_Toc494177965"/>
      <w:bookmarkStart w:id="67" w:name="_Toc495652243"/>
      <w:bookmarkStart w:id="68" w:name="_Toc496702668"/>
      <w:bookmarkEnd w:id="65"/>
      <w:r w:rsidRPr="00042EBE">
        <w:rPr>
          <w:rFonts w:ascii="Times New Roman" w:hAnsi="Times New Roman"/>
          <w:b/>
          <w:color w:val="auto"/>
          <w:sz w:val="24"/>
          <w:lang w:val="en-US"/>
        </w:rPr>
        <w:t>Romania</w:t>
      </w:r>
      <w:bookmarkEnd w:id="66"/>
      <w:bookmarkEnd w:id="67"/>
      <w:bookmarkEnd w:id="68"/>
    </w:p>
    <w:p w:rsidR="007C64B4" w:rsidRPr="00042EBE" w:rsidRDefault="007C64B4" w:rsidP="007C64B4">
      <w:pPr>
        <w:spacing w:after="240"/>
        <w:jc w:val="both"/>
        <w:rPr>
          <w:lang w:val="en-US"/>
        </w:rPr>
      </w:pPr>
      <w:bookmarkStart w:id="69" w:name="__RefHeading__5349_1151380434"/>
      <w:bookmarkStart w:id="70" w:name="_Toc494177966"/>
      <w:bookmarkStart w:id="71" w:name="_Toc495652244"/>
      <w:bookmarkEnd w:id="69"/>
      <w:r w:rsidRPr="00042EBE">
        <w:rPr>
          <w:lang w:val="en-US"/>
        </w:rPr>
        <w:t>Significant changes in the railway sector took place after 1998. In 2018, National Railway Supervision Council will perform a comprehensive market research in order to determine with great accuracy the characteristics of service facilities in Romania.</w:t>
      </w:r>
      <w:bookmarkEnd w:id="70"/>
      <w:bookmarkEnd w:id="71"/>
    </w:p>
    <w:tbl>
      <w:tblPr>
        <w:tblStyle w:val="Grilledutableau"/>
        <w:tblW w:w="9124" w:type="dxa"/>
        <w:jc w:val="center"/>
        <w:tblLook w:val="04A0" w:firstRow="1" w:lastRow="0" w:firstColumn="1" w:lastColumn="0" w:noHBand="0" w:noVBand="1"/>
      </w:tblPr>
      <w:tblGrid>
        <w:gridCol w:w="2268"/>
        <w:gridCol w:w="1842"/>
        <w:gridCol w:w="1671"/>
        <w:gridCol w:w="1670"/>
        <w:gridCol w:w="1673"/>
      </w:tblGrid>
      <w:tr w:rsidR="007C64B4" w:rsidRPr="00282239" w:rsidTr="007C64B4">
        <w:trPr>
          <w:jc w:val="center"/>
        </w:trPr>
        <w:tc>
          <w:tcPr>
            <w:tcW w:w="9124" w:type="dxa"/>
            <w:gridSpan w:val="5"/>
          </w:tcPr>
          <w:p w:rsidR="007C64B4" w:rsidRPr="00C745E9" w:rsidRDefault="007C64B4" w:rsidP="007C64B4">
            <w:pPr>
              <w:jc w:val="center"/>
              <w:rPr>
                <w:lang w:val="en-GB"/>
              </w:rPr>
            </w:pPr>
            <w:r>
              <w:rPr>
                <w:lang w:val="en-US"/>
              </w:rPr>
              <w:t>Service facilities in Romania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67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670" w:type="dxa"/>
          </w:tcPr>
          <w:p w:rsidR="007C64B4" w:rsidRPr="005508A1"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73" w:type="dxa"/>
          </w:tcPr>
          <w:p w:rsidR="007C64B4" w:rsidRPr="005508A1"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2" w:type="dxa"/>
          </w:tcPr>
          <w:p w:rsidR="007C64B4" w:rsidRPr="00FD4AEC" w:rsidRDefault="007C64B4" w:rsidP="007C64B4">
            <w:pPr>
              <w:jc w:val="center"/>
              <w:rPr>
                <w:sz w:val="22"/>
                <w:szCs w:val="22"/>
                <w:lang w:val="en-GB"/>
              </w:rPr>
            </w:pPr>
            <w:r w:rsidRPr="00FD4AEC">
              <w:rPr>
                <w:sz w:val="22"/>
                <w:szCs w:val="22"/>
                <w:lang w:val="en-GB"/>
              </w:rPr>
              <w:t>895</w:t>
            </w:r>
          </w:p>
        </w:tc>
        <w:tc>
          <w:tcPr>
            <w:tcW w:w="1671" w:type="dxa"/>
          </w:tcPr>
          <w:p w:rsidR="007C64B4" w:rsidRPr="00FD4AEC" w:rsidRDefault="007C64B4" w:rsidP="007C64B4">
            <w:pPr>
              <w:jc w:val="center"/>
              <w:rPr>
                <w:sz w:val="22"/>
                <w:szCs w:val="22"/>
                <w:lang w:val="en-GB"/>
              </w:rPr>
            </w:pPr>
            <w:r w:rsidRPr="00FD4AEC">
              <w:rPr>
                <w:sz w:val="22"/>
                <w:szCs w:val="22"/>
                <w:lang w:val="en-GB"/>
              </w:rPr>
              <w:t>N/A</w:t>
            </w:r>
          </w:p>
        </w:tc>
        <w:tc>
          <w:tcPr>
            <w:tcW w:w="1670" w:type="dxa"/>
          </w:tcPr>
          <w:p w:rsidR="007C64B4" w:rsidRPr="00FD4AEC" w:rsidRDefault="007C64B4" w:rsidP="007C64B4">
            <w:pPr>
              <w:jc w:val="center"/>
              <w:rPr>
                <w:sz w:val="22"/>
                <w:szCs w:val="22"/>
                <w:lang w:val="en-GB"/>
              </w:rPr>
            </w:pPr>
            <w:r w:rsidRPr="00FD4AEC">
              <w:rPr>
                <w:sz w:val="22"/>
                <w:szCs w:val="22"/>
                <w:lang w:val="en-GB"/>
              </w:rPr>
              <w:t>N/A</w:t>
            </w:r>
          </w:p>
        </w:tc>
        <w:tc>
          <w:tcPr>
            <w:tcW w:w="1673" w:type="dxa"/>
          </w:tcPr>
          <w:p w:rsidR="007C64B4" w:rsidRPr="00FD4AEC" w:rsidRDefault="007C64B4" w:rsidP="007C64B4">
            <w:pPr>
              <w:jc w:val="center"/>
              <w:rPr>
                <w:sz w:val="22"/>
                <w:szCs w:val="22"/>
                <w:lang w:val="en-GB"/>
              </w:rPr>
            </w:pPr>
            <w:r w:rsidRPr="00FD4AEC">
              <w:rPr>
                <w:sz w:val="22"/>
                <w:szCs w:val="22"/>
                <w:lang w:val="en-GB"/>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842" w:type="dxa"/>
            <w:vAlign w:val="bottom"/>
          </w:tcPr>
          <w:p w:rsidR="007C64B4" w:rsidRPr="00FD4AEC" w:rsidRDefault="007C64B4" w:rsidP="007C64B4">
            <w:pPr>
              <w:jc w:val="center"/>
              <w:rPr>
                <w:sz w:val="22"/>
                <w:szCs w:val="22"/>
                <w:lang w:val="en-GB"/>
              </w:rPr>
            </w:pPr>
            <w:r w:rsidRPr="00FD4AEC">
              <w:rPr>
                <w:sz w:val="22"/>
                <w:szCs w:val="22"/>
                <w:lang w:val="en-GB"/>
              </w:rPr>
              <w:t>N/A</w:t>
            </w:r>
          </w:p>
        </w:tc>
        <w:tc>
          <w:tcPr>
            <w:tcW w:w="1671" w:type="dxa"/>
            <w:vAlign w:val="bottom"/>
          </w:tcPr>
          <w:p w:rsidR="007C64B4" w:rsidRPr="00FD4AEC" w:rsidRDefault="007C64B4" w:rsidP="007C64B4">
            <w:pPr>
              <w:jc w:val="center"/>
              <w:rPr>
                <w:sz w:val="22"/>
                <w:szCs w:val="22"/>
                <w:lang w:val="en-GB"/>
              </w:rPr>
            </w:pPr>
            <w:r w:rsidRPr="00FD4AEC">
              <w:rPr>
                <w:sz w:val="22"/>
                <w:szCs w:val="22"/>
                <w:lang w:val="en-GB"/>
              </w:rPr>
              <w:t>N/A</w:t>
            </w:r>
          </w:p>
        </w:tc>
        <w:tc>
          <w:tcPr>
            <w:tcW w:w="1670" w:type="dxa"/>
            <w:vAlign w:val="bottom"/>
          </w:tcPr>
          <w:p w:rsidR="007C64B4" w:rsidRPr="00FD4AEC" w:rsidRDefault="007C64B4" w:rsidP="007C64B4">
            <w:pPr>
              <w:jc w:val="center"/>
              <w:rPr>
                <w:sz w:val="22"/>
                <w:szCs w:val="22"/>
                <w:lang w:val="en-GB"/>
              </w:rPr>
            </w:pPr>
            <w:r w:rsidRPr="00FD4AEC">
              <w:rPr>
                <w:sz w:val="22"/>
                <w:szCs w:val="22"/>
                <w:lang w:val="en-GB"/>
              </w:rPr>
              <w:t>N/A</w:t>
            </w:r>
          </w:p>
        </w:tc>
        <w:tc>
          <w:tcPr>
            <w:tcW w:w="1673" w:type="dxa"/>
            <w:vAlign w:val="bottom"/>
          </w:tcPr>
          <w:p w:rsidR="007C64B4" w:rsidRPr="00FD4AEC" w:rsidRDefault="007C64B4" w:rsidP="007C64B4">
            <w:pPr>
              <w:jc w:val="center"/>
              <w:rPr>
                <w:sz w:val="22"/>
                <w:szCs w:val="22"/>
                <w:lang w:val="en-GB"/>
              </w:rPr>
            </w:pPr>
            <w:r w:rsidRPr="00FD4AEC">
              <w:rPr>
                <w:sz w:val="22"/>
                <w:szCs w:val="22"/>
                <w:lang w:val="en-GB"/>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842" w:type="dxa"/>
          </w:tcPr>
          <w:p w:rsidR="007C64B4" w:rsidRPr="00FD4AEC" w:rsidRDefault="007C64B4" w:rsidP="007C64B4">
            <w:pPr>
              <w:jc w:val="center"/>
              <w:rPr>
                <w:sz w:val="22"/>
                <w:szCs w:val="22"/>
                <w:lang w:val="en-GB"/>
              </w:rPr>
            </w:pPr>
            <w:r w:rsidRPr="00FD4AEC">
              <w:rPr>
                <w:sz w:val="22"/>
                <w:szCs w:val="22"/>
                <w:lang w:val="en-GB"/>
              </w:rPr>
              <w:t>N/A</w:t>
            </w:r>
          </w:p>
        </w:tc>
        <w:tc>
          <w:tcPr>
            <w:tcW w:w="1671" w:type="dxa"/>
          </w:tcPr>
          <w:p w:rsidR="007C64B4" w:rsidRPr="00FD4AEC" w:rsidRDefault="007C64B4" w:rsidP="007C64B4">
            <w:pPr>
              <w:jc w:val="center"/>
              <w:rPr>
                <w:sz w:val="22"/>
                <w:szCs w:val="22"/>
                <w:lang w:val="en-GB"/>
              </w:rPr>
            </w:pPr>
            <w:r w:rsidRPr="00FD4AEC">
              <w:rPr>
                <w:sz w:val="22"/>
                <w:szCs w:val="22"/>
                <w:lang w:val="en-GB"/>
              </w:rPr>
              <w:t>N/A</w:t>
            </w:r>
          </w:p>
        </w:tc>
        <w:tc>
          <w:tcPr>
            <w:tcW w:w="1670" w:type="dxa"/>
          </w:tcPr>
          <w:p w:rsidR="007C64B4" w:rsidRPr="00FD4AEC" w:rsidRDefault="007C64B4" w:rsidP="007C64B4">
            <w:pPr>
              <w:jc w:val="center"/>
              <w:rPr>
                <w:sz w:val="22"/>
                <w:szCs w:val="22"/>
                <w:lang w:val="en-GB"/>
              </w:rPr>
            </w:pPr>
            <w:r w:rsidRPr="00FD4AEC">
              <w:rPr>
                <w:sz w:val="22"/>
                <w:szCs w:val="22"/>
                <w:lang w:val="en-GB"/>
              </w:rPr>
              <w:t>N/A</w:t>
            </w:r>
          </w:p>
        </w:tc>
        <w:tc>
          <w:tcPr>
            <w:tcW w:w="1673" w:type="dxa"/>
          </w:tcPr>
          <w:p w:rsidR="007C64B4" w:rsidRPr="00FD4AEC" w:rsidRDefault="007C64B4" w:rsidP="007C64B4">
            <w:pPr>
              <w:jc w:val="center"/>
              <w:rPr>
                <w:sz w:val="22"/>
                <w:szCs w:val="22"/>
                <w:lang w:val="en-GB"/>
              </w:rPr>
            </w:pPr>
            <w:r w:rsidRPr="00FD4AEC">
              <w:rPr>
                <w:sz w:val="22"/>
                <w:szCs w:val="22"/>
                <w:lang w:val="en-GB"/>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2" w:type="dxa"/>
          </w:tcPr>
          <w:p w:rsidR="007C64B4" w:rsidRPr="00FD4AEC" w:rsidRDefault="007C64B4" w:rsidP="007C64B4">
            <w:pPr>
              <w:jc w:val="center"/>
              <w:rPr>
                <w:sz w:val="22"/>
                <w:szCs w:val="22"/>
                <w:lang w:val="en-GB"/>
              </w:rPr>
            </w:pPr>
            <w:r w:rsidRPr="00FD4AEC">
              <w:rPr>
                <w:sz w:val="22"/>
                <w:szCs w:val="22"/>
                <w:lang w:val="en-GB"/>
              </w:rPr>
              <w:t>N/A</w:t>
            </w:r>
          </w:p>
        </w:tc>
        <w:tc>
          <w:tcPr>
            <w:tcW w:w="1671" w:type="dxa"/>
          </w:tcPr>
          <w:p w:rsidR="007C64B4" w:rsidRPr="00FD4AEC" w:rsidRDefault="007C64B4" w:rsidP="007C64B4">
            <w:pPr>
              <w:jc w:val="center"/>
              <w:rPr>
                <w:sz w:val="22"/>
                <w:szCs w:val="22"/>
                <w:lang w:val="en-GB"/>
              </w:rPr>
            </w:pPr>
            <w:r w:rsidRPr="00FD4AEC">
              <w:rPr>
                <w:sz w:val="22"/>
                <w:szCs w:val="22"/>
                <w:lang w:val="en-GB"/>
              </w:rPr>
              <w:t>N/A</w:t>
            </w:r>
          </w:p>
        </w:tc>
        <w:tc>
          <w:tcPr>
            <w:tcW w:w="1670" w:type="dxa"/>
          </w:tcPr>
          <w:p w:rsidR="007C64B4" w:rsidRPr="00FD4AEC" w:rsidRDefault="007C64B4" w:rsidP="007C64B4">
            <w:pPr>
              <w:jc w:val="center"/>
              <w:rPr>
                <w:sz w:val="22"/>
                <w:szCs w:val="22"/>
                <w:lang w:val="en-GB"/>
              </w:rPr>
            </w:pPr>
            <w:r w:rsidRPr="00FD4AEC">
              <w:rPr>
                <w:sz w:val="22"/>
                <w:szCs w:val="22"/>
                <w:lang w:val="en-GB"/>
              </w:rPr>
              <w:t>N/A</w:t>
            </w:r>
          </w:p>
        </w:tc>
        <w:tc>
          <w:tcPr>
            <w:tcW w:w="1673" w:type="dxa"/>
          </w:tcPr>
          <w:p w:rsidR="007C64B4" w:rsidRPr="00FD4AEC" w:rsidRDefault="007C64B4" w:rsidP="007C64B4">
            <w:pPr>
              <w:jc w:val="center"/>
              <w:rPr>
                <w:sz w:val="22"/>
                <w:szCs w:val="22"/>
                <w:lang w:val="en-GB"/>
              </w:rPr>
            </w:pPr>
            <w:r w:rsidRPr="00FD4AEC">
              <w:rPr>
                <w:sz w:val="22"/>
                <w:szCs w:val="22"/>
                <w:lang w:val="en-GB"/>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2" w:type="dxa"/>
          </w:tcPr>
          <w:p w:rsidR="007C64B4" w:rsidRPr="00FD4AEC" w:rsidRDefault="007C64B4" w:rsidP="007C64B4">
            <w:pPr>
              <w:jc w:val="center"/>
              <w:rPr>
                <w:sz w:val="22"/>
                <w:szCs w:val="22"/>
                <w:lang w:val="en-GB"/>
              </w:rPr>
            </w:pPr>
            <w:r w:rsidRPr="00FD4AEC">
              <w:rPr>
                <w:sz w:val="22"/>
                <w:szCs w:val="22"/>
                <w:lang w:val="en-GB"/>
              </w:rPr>
              <w:t>N/A</w:t>
            </w:r>
          </w:p>
        </w:tc>
        <w:tc>
          <w:tcPr>
            <w:tcW w:w="1671" w:type="dxa"/>
          </w:tcPr>
          <w:p w:rsidR="007C64B4" w:rsidRPr="00FD4AEC" w:rsidRDefault="007C64B4" w:rsidP="007C64B4">
            <w:pPr>
              <w:jc w:val="center"/>
              <w:rPr>
                <w:sz w:val="22"/>
                <w:szCs w:val="22"/>
                <w:lang w:val="en-GB"/>
              </w:rPr>
            </w:pPr>
            <w:r w:rsidRPr="00FD4AEC">
              <w:rPr>
                <w:sz w:val="22"/>
                <w:szCs w:val="22"/>
                <w:lang w:val="en-GB"/>
              </w:rPr>
              <w:t>N/A</w:t>
            </w:r>
          </w:p>
        </w:tc>
        <w:tc>
          <w:tcPr>
            <w:tcW w:w="1670" w:type="dxa"/>
          </w:tcPr>
          <w:p w:rsidR="007C64B4" w:rsidRPr="00FD4AEC" w:rsidRDefault="007C64B4" w:rsidP="007C64B4">
            <w:pPr>
              <w:jc w:val="center"/>
              <w:rPr>
                <w:sz w:val="22"/>
                <w:szCs w:val="22"/>
                <w:lang w:val="en-GB"/>
              </w:rPr>
            </w:pPr>
            <w:r w:rsidRPr="00FD4AEC">
              <w:rPr>
                <w:sz w:val="22"/>
                <w:szCs w:val="22"/>
                <w:lang w:val="en-GB"/>
              </w:rPr>
              <w:t>N/A</w:t>
            </w:r>
          </w:p>
        </w:tc>
        <w:tc>
          <w:tcPr>
            <w:tcW w:w="1673" w:type="dxa"/>
          </w:tcPr>
          <w:p w:rsidR="007C64B4" w:rsidRPr="00FD4AEC" w:rsidRDefault="007C64B4" w:rsidP="007C64B4">
            <w:pPr>
              <w:jc w:val="center"/>
              <w:rPr>
                <w:sz w:val="22"/>
                <w:szCs w:val="22"/>
                <w:lang w:val="en-GB"/>
              </w:rPr>
            </w:pPr>
            <w:r w:rsidRPr="00FD4AEC">
              <w:rPr>
                <w:sz w:val="22"/>
                <w:szCs w:val="22"/>
                <w:lang w:val="en-GB"/>
              </w:rPr>
              <w:t>N/A</w:t>
            </w:r>
          </w:p>
        </w:tc>
      </w:tr>
    </w:tbl>
    <w:p w:rsidR="007C64B4" w:rsidRPr="00962306" w:rsidRDefault="007C64B4" w:rsidP="007C64B4">
      <w:pPr>
        <w:pStyle w:val="Lgende"/>
        <w:jc w:val="center"/>
        <w:rPr>
          <w:b w:val="0"/>
          <w:color w:val="auto"/>
          <w:sz w:val="20"/>
          <w:lang w:val="en-GB"/>
        </w:rPr>
      </w:pPr>
      <w:r w:rsidRPr="00962306">
        <w:rPr>
          <w:b w:val="0"/>
          <w:color w:val="auto"/>
          <w:sz w:val="20"/>
          <w:lang w:val="en-GB"/>
        </w:rPr>
        <w:t xml:space="preserve">Table </w:t>
      </w:r>
      <w:r w:rsidRPr="00096A00">
        <w:rPr>
          <w:b w:val="0"/>
          <w:color w:val="auto"/>
          <w:sz w:val="20"/>
          <w:szCs w:val="20"/>
        </w:rPr>
        <w:fldChar w:fldCharType="begin"/>
      </w:r>
      <w:r w:rsidRPr="00096A00">
        <w:rPr>
          <w:b w:val="0"/>
          <w:color w:val="auto"/>
          <w:sz w:val="20"/>
          <w:szCs w:val="20"/>
          <w:lang w:val="en-US"/>
        </w:rPr>
        <w:instrText xml:space="preserve"> SEQ Table \* ARABIC </w:instrText>
      </w:r>
      <w:r w:rsidRPr="00096A00">
        <w:rPr>
          <w:b w:val="0"/>
          <w:color w:val="auto"/>
          <w:sz w:val="20"/>
          <w:szCs w:val="20"/>
        </w:rPr>
        <w:fldChar w:fldCharType="separate"/>
      </w:r>
      <w:r w:rsidR="0099201F">
        <w:rPr>
          <w:b w:val="0"/>
          <w:noProof/>
          <w:color w:val="auto"/>
          <w:sz w:val="20"/>
          <w:szCs w:val="20"/>
          <w:lang w:val="en-US"/>
        </w:rPr>
        <w:t>22</w:t>
      </w:r>
      <w:r w:rsidRPr="00096A00">
        <w:rPr>
          <w:b w:val="0"/>
          <w:color w:val="auto"/>
          <w:sz w:val="20"/>
          <w:szCs w:val="20"/>
        </w:rPr>
        <w:fldChar w:fldCharType="end"/>
      </w:r>
      <w:r w:rsidRPr="00096A00">
        <w:rPr>
          <w:b w:val="0"/>
          <w:color w:val="auto"/>
          <w:sz w:val="20"/>
          <w:szCs w:val="20"/>
          <w:lang w:val="en-US"/>
        </w:rPr>
        <w:t>:</w:t>
      </w:r>
      <w:r w:rsidRPr="00962306">
        <w:rPr>
          <w:color w:val="auto"/>
          <w:sz w:val="20"/>
          <w:lang w:val="en-GB"/>
        </w:rPr>
        <w:t xml:space="preserve"> </w:t>
      </w:r>
      <w:r w:rsidRPr="00962306">
        <w:rPr>
          <w:b w:val="0"/>
          <w:color w:val="auto"/>
          <w:sz w:val="20"/>
          <w:lang w:val="en-GB"/>
        </w:rPr>
        <w:t>No of service facilities in Romania according to the market monitoring survey of IRG-Rail 2016</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72" w:name="__RefHeading__5351_1151380434"/>
      <w:bookmarkStart w:id="73" w:name="_Toc494177967"/>
      <w:bookmarkStart w:id="74" w:name="_Toc495652245"/>
      <w:bookmarkStart w:id="75" w:name="_Toc496702669"/>
      <w:bookmarkEnd w:id="72"/>
      <w:proofErr w:type="spellStart"/>
      <w:r w:rsidRPr="0046443F">
        <w:rPr>
          <w:rFonts w:ascii="Times New Roman" w:hAnsi="Times New Roman" w:cs="Times New Roman"/>
          <w:b/>
          <w:color w:val="auto"/>
          <w:sz w:val="24"/>
          <w:szCs w:val="24"/>
        </w:rPr>
        <w:t>Slovenia</w:t>
      </w:r>
      <w:bookmarkEnd w:id="73"/>
      <w:bookmarkEnd w:id="74"/>
      <w:bookmarkEnd w:id="75"/>
      <w:proofErr w:type="spellEnd"/>
    </w:p>
    <w:tbl>
      <w:tblPr>
        <w:tblStyle w:val="Grilledutableau"/>
        <w:tblW w:w="0" w:type="auto"/>
        <w:jc w:val="center"/>
        <w:tblLook w:val="04A0" w:firstRow="1" w:lastRow="0" w:firstColumn="1" w:lastColumn="0" w:noHBand="0" w:noVBand="1"/>
      </w:tblPr>
      <w:tblGrid>
        <w:gridCol w:w="2268"/>
        <w:gridCol w:w="1842"/>
        <w:gridCol w:w="1701"/>
        <w:gridCol w:w="1701"/>
        <w:gridCol w:w="1665"/>
      </w:tblGrid>
      <w:tr w:rsidR="007C64B4" w:rsidRPr="00282239" w:rsidTr="007C64B4">
        <w:trPr>
          <w:jc w:val="center"/>
        </w:trPr>
        <w:tc>
          <w:tcPr>
            <w:tcW w:w="9177" w:type="dxa"/>
            <w:gridSpan w:val="5"/>
          </w:tcPr>
          <w:p w:rsidR="007C64B4" w:rsidRPr="00C745E9" w:rsidRDefault="007C64B4" w:rsidP="007C64B4">
            <w:pPr>
              <w:jc w:val="center"/>
              <w:rPr>
                <w:lang w:val="en-GB"/>
              </w:rPr>
            </w:pPr>
            <w:r>
              <w:rPr>
                <w:lang w:val="en-US"/>
              </w:rPr>
              <w:t>Service facilities in Slovenia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70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701" w:type="dxa"/>
          </w:tcPr>
          <w:p w:rsidR="007C64B4" w:rsidRPr="005508A1"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65" w:type="dxa"/>
          </w:tcPr>
          <w:p w:rsidR="007C64B4" w:rsidRPr="005508A1"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2" w:type="dxa"/>
          </w:tcPr>
          <w:p w:rsidR="007C64B4" w:rsidRPr="00FD4AEC" w:rsidRDefault="007C64B4" w:rsidP="007C64B4">
            <w:pPr>
              <w:jc w:val="center"/>
              <w:rPr>
                <w:sz w:val="22"/>
                <w:szCs w:val="22"/>
                <w:lang w:val="en-GB"/>
              </w:rPr>
            </w:pPr>
            <w:r w:rsidRPr="00FD4AEC">
              <w:rPr>
                <w:sz w:val="22"/>
                <w:szCs w:val="22"/>
                <w:lang w:val="en-GB"/>
              </w:rPr>
              <w:t>271</w:t>
            </w:r>
          </w:p>
        </w:tc>
        <w:tc>
          <w:tcPr>
            <w:tcW w:w="1701" w:type="dxa"/>
          </w:tcPr>
          <w:p w:rsidR="007C64B4" w:rsidRPr="00FD4AEC" w:rsidRDefault="007C64B4" w:rsidP="007C64B4">
            <w:pPr>
              <w:jc w:val="center"/>
              <w:rPr>
                <w:sz w:val="22"/>
                <w:szCs w:val="22"/>
              </w:rPr>
            </w:pPr>
            <w:r w:rsidRPr="00FD4AEC">
              <w:rPr>
                <w:sz w:val="22"/>
                <w:szCs w:val="22"/>
                <w:lang w:val="en-GB"/>
              </w:rPr>
              <w:t>N/A</w:t>
            </w:r>
          </w:p>
        </w:tc>
        <w:tc>
          <w:tcPr>
            <w:tcW w:w="1701" w:type="dxa"/>
          </w:tcPr>
          <w:p w:rsidR="007C64B4" w:rsidRPr="00FD4AEC" w:rsidRDefault="007C64B4" w:rsidP="007C64B4">
            <w:pPr>
              <w:jc w:val="center"/>
              <w:rPr>
                <w:sz w:val="22"/>
                <w:szCs w:val="22"/>
              </w:rPr>
            </w:pPr>
            <w:r w:rsidRPr="00FD4AEC">
              <w:rPr>
                <w:sz w:val="22"/>
                <w:szCs w:val="22"/>
                <w:lang w:val="en-GB"/>
              </w:rPr>
              <w:t>N/A</w:t>
            </w:r>
          </w:p>
        </w:tc>
        <w:tc>
          <w:tcPr>
            <w:tcW w:w="1665" w:type="dxa"/>
          </w:tcPr>
          <w:p w:rsidR="007C64B4" w:rsidRPr="00FD4AEC" w:rsidRDefault="007C64B4" w:rsidP="007C64B4">
            <w:pPr>
              <w:jc w:val="center"/>
              <w:rPr>
                <w:sz w:val="22"/>
                <w:szCs w:val="22"/>
              </w:rPr>
            </w:pPr>
            <w:r w:rsidRPr="00FD4AEC">
              <w:rPr>
                <w:sz w:val="22"/>
                <w:szCs w:val="22"/>
                <w:lang w:val="en-GB"/>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842" w:type="dxa"/>
            <w:vAlign w:val="bottom"/>
          </w:tcPr>
          <w:p w:rsidR="007C64B4" w:rsidRPr="00FD4AEC" w:rsidRDefault="007C64B4" w:rsidP="007C64B4">
            <w:pPr>
              <w:jc w:val="center"/>
              <w:rPr>
                <w:sz w:val="22"/>
                <w:szCs w:val="22"/>
                <w:lang w:val="en-GB"/>
              </w:rPr>
            </w:pPr>
            <w:r w:rsidRPr="00FD4AEC">
              <w:rPr>
                <w:sz w:val="22"/>
                <w:szCs w:val="22"/>
                <w:lang w:val="en-GB"/>
              </w:rPr>
              <w:t>4</w:t>
            </w:r>
          </w:p>
        </w:tc>
        <w:tc>
          <w:tcPr>
            <w:tcW w:w="1701" w:type="dxa"/>
            <w:vAlign w:val="bottom"/>
          </w:tcPr>
          <w:p w:rsidR="007C64B4" w:rsidRPr="00FD4AEC" w:rsidRDefault="007C64B4" w:rsidP="007C64B4">
            <w:pPr>
              <w:jc w:val="center"/>
              <w:rPr>
                <w:sz w:val="22"/>
                <w:szCs w:val="22"/>
                <w:lang w:val="en-GB"/>
              </w:rPr>
            </w:pPr>
            <w:r w:rsidRPr="00FD4AEC">
              <w:rPr>
                <w:sz w:val="22"/>
                <w:szCs w:val="22"/>
                <w:lang w:val="en-GB"/>
              </w:rPr>
              <w:t>0</w:t>
            </w:r>
          </w:p>
        </w:tc>
        <w:tc>
          <w:tcPr>
            <w:tcW w:w="1701" w:type="dxa"/>
            <w:vAlign w:val="bottom"/>
          </w:tcPr>
          <w:p w:rsidR="007C64B4" w:rsidRPr="00FD4AEC" w:rsidRDefault="007C64B4" w:rsidP="007C64B4">
            <w:pPr>
              <w:jc w:val="center"/>
              <w:rPr>
                <w:sz w:val="22"/>
                <w:szCs w:val="22"/>
                <w:lang w:val="en-GB"/>
              </w:rPr>
            </w:pPr>
            <w:r w:rsidRPr="00FD4AEC">
              <w:rPr>
                <w:sz w:val="22"/>
                <w:szCs w:val="22"/>
                <w:lang w:val="en-GB"/>
              </w:rPr>
              <w:t>0</w:t>
            </w:r>
          </w:p>
        </w:tc>
        <w:tc>
          <w:tcPr>
            <w:tcW w:w="1665" w:type="dxa"/>
            <w:vAlign w:val="bottom"/>
          </w:tcPr>
          <w:p w:rsidR="007C64B4" w:rsidRPr="00FD4AEC" w:rsidRDefault="007C64B4" w:rsidP="007C64B4">
            <w:pPr>
              <w:jc w:val="center"/>
              <w:rPr>
                <w:sz w:val="22"/>
                <w:szCs w:val="22"/>
                <w:lang w:val="en-GB"/>
              </w:rPr>
            </w:pPr>
            <w:r w:rsidRPr="00FD4AEC">
              <w:rPr>
                <w:sz w:val="22"/>
                <w:szCs w:val="22"/>
                <w:lang w:val="en-GB"/>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842" w:type="dxa"/>
          </w:tcPr>
          <w:p w:rsidR="007C64B4" w:rsidRPr="00FD4AEC" w:rsidRDefault="007C64B4" w:rsidP="007C64B4">
            <w:pPr>
              <w:jc w:val="center"/>
              <w:rPr>
                <w:sz w:val="22"/>
                <w:szCs w:val="22"/>
                <w:lang w:val="en-GB"/>
              </w:rPr>
            </w:pPr>
            <w:r w:rsidRPr="00FD4AEC">
              <w:rPr>
                <w:sz w:val="22"/>
                <w:szCs w:val="22"/>
                <w:lang w:val="en-GB"/>
              </w:rPr>
              <w:t>1</w:t>
            </w:r>
          </w:p>
        </w:tc>
        <w:tc>
          <w:tcPr>
            <w:tcW w:w="1701" w:type="dxa"/>
          </w:tcPr>
          <w:p w:rsidR="007C64B4" w:rsidRPr="00FD4AEC" w:rsidRDefault="007C64B4" w:rsidP="007C64B4">
            <w:pPr>
              <w:jc w:val="center"/>
              <w:rPr>
                <w:sz w:val="22"/>
                <w:szCs w:val="22"/>
                <w:lang w:val="en-GB"/>
              </w:rPr>
            </w:pPr>
            <w:r w:rsidRPr="00FD4AEC">
              <w:rPr>
                <w:sz w:val="22"/>
                <w:szCs w:val="22"/>
                <w:lang w:val="en-GB"/>
              </w:rPr>
              <w:t>0</w:t>
            </w:r>
          </w:p>
        </w:tc>
        <w:tc>
          <w:tcPr>
            <w:tcW w:w="1701" w:type="dxa"/>
          </w:tcPr>
          <w:p w:rsidR="007C64B4" w:rsidRPr="00FD4AEC" w:rsidRDefault="007C64B4" w:rsidP="007C64B4">
            <w:pPr>
              <w:jc w:val="center"/>
              <w:rPr>
                <w:sz w:val="22"/>
                <w:szCs w:val="22"/>
                <w:lang w:val="en-GB"/>
              </w:rPr>
            </w:pPr>
            <w:r w:rsidRPr="00FD4AEC">
              <w:rPr>
                <w:sz w:val="22"/>
                <w:szCs w:val="22"/>
                <w:lang w:val="en-GB"/>
              </w:rPr>
              <w:t>0</w:t>
            </w:r>
          </w:p>
        </w:tc>
        <w:tc>
          <w:tcPr>
            <w:tcW w:w="1665" w:type="dxa"/>
          </w:tcPr>
          <w:p w:rsidR="007C64B4" w:rsidRPr="00FD4AEC" w:rsidRDefault="007C64B4" w:rsidP="007C64B4">
            <w:pPr>
              <w:jc w:val="center"/>
              <w:rPr>
                <w:sz w:val="22"/>
                <w:szCs w:val="22"/>
                <w:lang w:val="en-GB"/>
              </w:rPr>
            </w:pPr>
            <w:r w:rsidRPr="00FD4AEC">
              <w:rPr>
                <w:sz w:val="22"/>
                <w:szCs w:val="22"/>
                <w:lang w:val="en-GB"/>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2" w:type="dxa"/>
          </w:tcPr>
          <w:p w:rsidR="007C64B4" w:rsidRPr="00FD4AEC" w:rsidRDefault="007C64B4" w:rsidP="007C64B4">
            <w:pPr>
              <w:jc w:val="center"/>
              <w:rPr>
                <w:sz w:val="22"/>
                <w:szCs w:val="22"/>
                <w:lang w:val="en-GB"/>
              </w:rPr>
            </w:pPr>
            <w:r w:rsidRPr="00FD4AEC">
              <w:rPr>
                <w:sz w:val="22"/>
                <w:szCs w:val="22"/>
                <w:lang w:val="en-GB"/>
              </w:rPr>
              <w:t>12</w:t>
            </w:r>
          </w:p>
        </w:tc>
        <w:tc>
          <w:tcPr>
            <w:tcW w:w="1701" w:type="dxa"/>
          </w:tcPr>
          <w:p w:rsidR="007C64B4" w:rsidRPr="00FD4AEC" w:rsidRDefault="007C64B4" w:rsidP="007C64B4">
            <w:pPr>
              <w:jc w:val="center"/>
              <w:rPr>
                <w:sz w:val="22"/>
                <w:szCs w:val="22"/>
                <w:lang w:val="en-GB"/>
              </w:rPr>
            </w:pPr>
            <w:r w:rsidRPr="00FD4AEC">
              <w:rPr>
                <w:sz w:val="22"/>
                <w:szCs w:val="22"/>
                <w:lang w:val="en-GB"/>
              </w:rPr>
              <w:t>0</w:t>
            </w:r>
          </w:p>
        </w:tc>
        <w:tc>
          <w:tcPr>
            <w:tcW w:w="1701" w:type="dxa"/>
          </w:tcPr>
          <w:p w:rsidR="007C64B4" w:rsidRPr="00FD4AEC" w:rsidRDefault="007C64B4" w:rsidP="007C64B4">
            <w:pPr>
              <w:jc w:val="center"/>
              <w:rPr>
                <w:sz w:val="22"/>
                <w:szCs w:val="22"/>
                <w:lang w:val="en-GB"/>
              </w:rPr>
            </w:pPr>
            <w:r w:rsidRPr="00FD4AEC">
              <w:rPr>
                <w:sz w:val="22"/>
                <w:szCs w:val="22"/>
                <w:lang w:val="en-GB"/>
              </w:rPr>
              <w:t>0</w:t>
            </w:r>
          </w:p>
        </w:tc>
        <w:tc>
          <w:tcPr>
            <w:tcW w:w="1665" w:type="dxa"/>
          </w:tcPr>
          <w:p w:rsidR="007C64B4" w:rsidRPr="00FD4AEC" w:rsidRDefault="007C64B4" w:rsidP="007C64B4">
            <w:pPr>
              <w:jc w:val="center"/>
              <w:rPr>
                <w:sz w:val="22"/>
                <w:szCs w:val="22"/>
                <w:lang w:val="en-GB"/>
              </w:rPr>
            </w:pPr>
            <w:r w:rsidRPr="00FD4AEC">
              <w:rPr>
                <w:sz w:val="22"/>
                <w:szCs w:val="22"/>
                <w:lang w:val="en-GB"/>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2" w:type="dxa"/>
          </w:tcPr>
          <w:p w:rsidR="007C64B4" w:rsidRPr="00FD4AEC" w:rsidRDefault="007C64B4" w:rsidP="007C64B4">
            <w:pPr>
              <w:jc w:val="center"/>
              <w:rPr>
                <w:sz w:val="22"/>
                <w:szCs w:val="22"/>
                <w:lang w:val="en-GB"/>
              </w:rPr>
            </w:pPr>
            <w:r w:rsidRPr="00FD4AEC">
              <w:rPr>
                <w:sz w:val="22"/>
                <w:szCs w:val="22"/>
                <w:lang w:val="en-GB"/>
              </w:rPr>
              <w:t>N/A</w:t>
            </w:r>
          </w:p>
        </w:tc>
        <w:tc>
          <w:tcPr>
            <w:tcW w:w="1701" w:type="dxa"/>
          </w:tcPr>
          <w:p w:rsidR="007C64B4" w:rsidRPr="00FD4AEC" w:rsidRDefault="007C64B4" w:rsidP="007C64B4">
            <w:pPr>
              <w:jc w:val="center"/>
              <w:rPr>
                <w:sz w:val="22"/>
                <w:szCs w:val="22"/>
                <w:lang w:val="en-GB"/>
              </w:rPr>
            </w:pPr>
            <w:r w:rsidRPr="00FD4AEC">
              <w:rPr>
                <w:sz w:val="22"/>
                <w:szCs w:val="22"/>
                <w:lang w:val="en-GB"/>
              </w:rPr>
              <w:t>N/A</w:t>
            </w:r>
          </w:p>
        </w:tc>
        <w:tc>
          <w:tcPr>
            <w:tcW w:w="1701" w:type="dxa"/>
          </w:tcPr>
          <w:p w:rsidR="007C64B4" w:rsidRPr="00FD4AEC" w:rsidRDefault="007C64B4" w:rsidP="007C64B4">
            <w:pPr>
              <w:jc w:val="center"/>
              <w:rPr>
                <w:sz w:val="22"/>
                <w:szCs w:val="22"/>
                <w:lang w:val="en-GB"/>
              </w:rPr>
            </w:pPr>
            <w:r w:rsidRPr="00FD4AEC">
              <w:rPr>
                <w:sz w:val="22"/>
                <w:szCs w:val="22"/>
                <w:lang w:val="en-GB"/>
              </w:rPr>
              <w:t>N/A</w:t>
            </w:r>
          </w:p>
        </w:tc>
        <w:tc>
          <w:tcPr>
            <w:tcW w:w="1665" w:type="dxa"/>
          </w:tcPr>
          <w:p w:rsidR="007C64B4" w:rsidRPr="00FD4AEC" w:rsidRDefault="007C64B4" w:rsidP="007C64B4">
            <w:pPr>
              <w:jc w:val="center"/>
              <w:rPr>
                <w:sz w:val="22"/>
                <w:szCs w:val="22"/>
                <w:lang w:val="en-GB"/>
              </w:rPr>
            </w:pPr>
            <w:r w:rsidRPr="00FD4AEC">
              <w:rPr>
                <w:sz w:val="22"/>
                <w:szCs w:val="22"/>
                <w:lang w:val="en-GB"/>
              </w:rPr>
              <w:t>10</w:t>
            </w:r>
          </w:p>
        </w:tc>
      </w:tr>
    </w:tbl>
    <w:p w:rsidR="007C64B4" w:rsidRPr="00096A00" w:rsidRDefault="007C64B4" w:rsidP="007C64B4">
      <w:pPr>
        <w:rPr>
          <w:sz w:val="20"/>
          <w:szCs w:val="20"/>
          <w:lang w:val="en-US"/>
        </w:rPr>
      </w:pPr>
      <w:r w:rsidRPr="00096A00">
        <w:rPr>
          <w:sz w:val="20"/>
          <w:szCs w:val="20"/>
          <w:lang w:val="en-US"/>
        </w:rPr>
        <w:t xml:space="preserve">Table </w:t>
      </w:r>
      <w:r w:rsidRPr="001C366D">
        <w:rPr>
          <w:sz w:val="20"/>
          <w:szCs w:val="20"/>
        </w:rPr>
        <w:fldChar w:fldCharType="begin"/>
      </w:r>
      <w:r w:rsidRPr="001C366D">
        <w:rPr>
          <w:sz w:val="20"/>
          <w:szCs w:val="20"/>
          <w:lang w:val="en-US"/>
        </w:rPr>
        <w:instrText xml:space="preserve"> SEQ Table \* ARABIC </w:instrText>
      </w:r>
      <w:r w:rsidRPr="001C366D">
        <w:rPr>
          <w:sz w:val="20"/>
          <w:szCs w:val="20"/>
        </w:rPr>
        <w:fldChar w:fldCharType="separate"/>
      </w:r>
      <w:r w:rsidR="0099201F">
        <w:rPr>
          <w:noProof/>
          <w:sz w:val="20"/>
          <w:szCs w:val="20"/>
          <w:lang w:val="en-US"/>
        </w:rPr>
        <w:t>23</w:t>
      </w:r>
      <w:r w:rsidRPr="001C366D">
        <w:rPr>
          <w:sz w:val="20"/>
          <w:szCs w:val="20"/>
        </w:rPr>
        <w:fldChar w:fldCharType="end"/>
      </w:r>
      <w:r w:rsidRPr="00096A00">
        <w:rPr>
          <w:sz w:val="20"/>
          <w:szCs w:val="20"/>
          <w:lang w:val="en-US"/>
        </w:rPr>
        <w:t>: No of service facilities in Slovenia according to the market monitoring survey of IRG-Rail 2016</w:t>
      </w:r>
      <w:bookmarkStart w:id="76" w:name="__RefHeading__5353_1151380434"/>
      <w:bookmarkStart w:id="77" w:name="_Toc494177968"/>
      <w:bookmarkStart w:id="78" w:name="_Toc495652246"/>
      <w:bookmarkEnd w:id="76"/>
    </w:p>
    <w:p w:rsidR="007C64B4" w:rsidRPr="00096A00" w:rsidRDefault="007C64B4" w:rsidP="007C64B4">
      <w:pPr>
        <w:pStyle w:val="Sous-titre"/>
        <w:rPr>
          <w:lang w:val="en-US"/>
        </w:rPr>
      </w:pP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79" w:name="_Toc496702670"/>
      <w:r w:rsidRPr="0046443F">
        <w:rPr>
          <w:rFonts w:ascii="Times New Roman" w:hAnsi="Times New Roman" w:cs="Times New Roman"/>
          <w:b/>
          <w:color w:val="auto"/>
          <w:sz w:val="24"/>
          <w:szCs w:val="24"/>
        </w:rPr>
        <w:lastRenderedPageBreak/>
        <w:t>Spain</w:t>
      </w:r>
      <w:bookmarkEnd w:id="77"/>
      <w:bookmarkEnd w:id="78"/>
      <w:bookmarkEnd w:id="79"/>
    </w:p>
    <w:tbl>
      <w:tblPr>
        <w:tblStyle w:val="Grilledutableau"/>
        <w:tblW w:w="0" w:type="auto"/>
        <w:jc w:val="center"/>
        <w:tblLook w:val="04A0" w:firstRow="1" w:lastRow="0" w:firstColumn="1" w:lastColumn="0" w:noHBand="0" w:noVBand="1"/>
      </w:tblPr>
      <w:tblGrid>
        <w:gridCol w:w="2268"/>
        <w:gridCol w:w="1842"/>
        <w:gridCol w:w="1701"/>
        <w:gridCol w:w="1701"/>
        <w:gridCol w:w="1665"/>
      </w:tblGrid>
      <w:tr w:rsidR="007C64B4" w:rsidRPr="00282239" w:rsidTr="007C64B4">
        <w:trPr>
          <w:jc w:val="center"/>
        </w:trPr>
        <w:tc>
          <w:tcPr>
            <w:tcW w:w="9177" w:type="dxa"/>
            <w:gridSpan w:val="5"/>
          </w:tcPr>
          <w:p w:rsidR="007C64B4" w:rsidRPr="00C745E9" w:rsidRDefault="007C64B4" w:rsidP="007C64B4">
            <w:pPr>
              <w:jc w:val="center"/>
              <w:rPr>
                <w:lang w:val="en-GB"/>
              </w:rPr>
            </w:pPr>
            <w:r>
              <w:rPr>
                <w:lang w:val="en-US"/>
              </w:rPr>
              <w:t>Service facilities in Spain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70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701" w:type="dxa"/>
          </w:tcPr>
          <w:p w:rsidR="007C64B4" w:rsidRPr="007411AC"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65" w:type="dxa"/>
          </w:tcPr>
          <w:p w:rsidR="007C64B4" w:rsidRPr="007411AC"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2" w:type="dxa"/>
          </w:tcPr>
          <w:p w:rsidR="007C64B4" w:rsidRPr="00FD4AEC" w:rsidRDefault="007C64B4" w:rsidP="007C64B4">
            <w:pPr>
              <w:jc w:val="center"/>
              <w:rPr>
                <w:sz w:val="22"/>
                <w:szCs w:val="22"/>
                <w:lang w:val="en-GB"/>
              </w:rPr>
            </w:pPr>
            <w:r w:rsidRPr="00FD4AEC">
              <w:rPr>
                <w:sz w:val="22"/>
                <w:szCs w:val="22"/>
                <w:lang w:val="en-GB"/>
              </w:rPr>
              <w:t>0</w:t>
            </w:r>
          </w:p>
        </w:tc>
        <w:tc>
          <w:tcPr>
            <w:tcW w:w="1701" w:type="dxa"/>
          </w:tcPr>
          <w:p w:rsidR="007C64B4" w:rsidRPr="00FD4AEC" w:rsidRDefault="007C64B4" w:rsidP="007C64B4">
            <w:pPr>
              <w:jc w:val="center"/>
              <w:rPr>
                <w:sz w:val="22"/>
                <w:szCs w:val="22"/>
                <w:lang w:val="en-GB"/>
              </w:rPr>
            </w:pPr>
            <w:r w:rsidRPr="00FD4AEC">
              <w:rPr>
                <w:sz w:val="22"/>
                <w:szCs w:val="22"/>
                <w:lang w:val="en-GB"/>
              </w:rPr>
              <w:t>1.948</w:t>
            </w:r>
          </w:p>
        </w:tc>
        <w:tc>
          <w:tcPr>
            <w:tcW w:w="1701" w:type="dxa"/>
          </w:tcPr>
          <w:p w:rsidR="007C64B4" w:rsidRPr="00FD4AEC" w:rsidRDefault="007C64B4" w:rsidP="007C64B4">
            <w:pPr>
              <w:jc w:val="center"/>
              <w:rPr>
                <w:sz w:val="22"/>
                <w:szCs w:val="22"/>
                <w:lang w:val="en-GB"/>
              </w:rPr>
            </w:pPr>
            <w:r w:rsidRPr="00FD4AEC">
              <w:rPr>
                <w:sz w:val="22"/>
                <w:szCs w:val="22"/>
                <w:lang w:val="en-GB"/>
              </w:rPr>
              <w:t>N/A</w:t>
            </w:r>
          </w:p>
        </w:tc>
        <w:tc>
          <w:tcPr>
            <w:tcW w:w="1665" w:type="dxa"/>
          </w:tcPr>
          <w:p w:rsidR="007C64B4" w:rsidRPr="00FD4AEC" w:rsidRDefault="007C64B4" w:rsidP="007C64B4">
            <w:pPr>
              <w:jc w:val="center"/>
              <w:rPr>
                <w:sz w:val="22"/>
                <w:szCs w:val="22"/>
                <w:lang w:val="en-GB"/>
              </w:rPr>
            </w:pPr>
            <w:r w:rsidRPr="00FD4AEC">
              <w:rPr>
                <w:sz w:val="22"/>
                <w:szCs w:val="22"/>
                <w:lang w:val="en-GB"/>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r w:rsidRPr="00FD4AEC">
              <w:rPr>
                <w:rStyle w:val="Appelnotedebasdep"/>
                <w:sz w:val="22"/>
                <w:szCs w:val="22"/>
                <w:lang w:val="en-GB"/>
              </w:rPr>
              <w:footnoteReference w:id="51"/>
            </w:r>
          </w:p>
        </w:tc>
        <w:tc>
          <w:tcPr>
            <w:tcW w:w="1842" w:type="dxa"/>
            <w:vAlign w:val="bottom"/>
          </w:tcPr>
          <w:p w:rsidR="007C64B4" w:rsidRPr="00FD4AEC" w:rsidRDefault="007C64B4" w:rsidP="007C64B4">
            <w:pPr>
              <w:jc w:val="center"/>
              <w:rPr>
                <w:sz w:val="22"/>
                <w:szCs w:val="22"/>
                <w:lang w:val="en-GB"/>
              </w:rPr>
            </w:pPr>
            <w:r w:rsidRPr="00FD4AEC">
              <w:rPr>
                <w:sz w:val="22"/>
                <w:szCs w:val="22"/>
                <w:lang w:val="en-GB"/>
              </w:rPr>
              <w:t xml:space="preserve"> N/A</w:t>
            </w:r>
          </w:p>
        </w:tc>
        <w:tc>
          <w:tcPr>
            <w:tcW w:w="1701" w:type="dxa"/>
            <w:vAlign w:val="bottom"/>
          </w:tcPr>
          <w:p w:rsidR="007C64B4" w:rsidRPr="00FD4AEC" w:rsidRDefault="007C64B4" w:rsidP="007C64B4">
            <w:pPr>
              <w:jc w:val="center"/>
              <w:rPr>
                <w:sz w:val="22"/>
                <w:szCs w:val="22"/>
                <w:lang w:val="en-GB"/>
              </w:rPr>
            </w:pPr>
            <w:r w:rsidRPr="00FD4AEC">
              <w:rPr>
                <w:sz w:val="22"/>
                <w:szCs w:val="22"/>
                <w:lang w:val="en-GB"/>
              </w:rPr>
              <w:t>12</w:t>
            </w:r>
            <w:r w:rsidRPr="00FD4AEC">
              <w:rPr>
                <w:rStyle w:val="Appelnotedebasdep"/>
                <w:sz w:val="22"/>
                <w:szCs w:val="22"/>
                <w:lang w:val="en-GB"/>
              </w:rPr>
              <w:footnoteReference w:id="52"/>
            </w:r>
          </w:p>
        </w:tc>
        <w:tc>
          <w:tcPr>
            <w:tcW w:w="1701" w:type="dxa"/>
            <w:vAlign w:val="bottom"/>
          </w:tcPr>
          <w:p w:rsidR="007C64B4" w:rsidRPr="00FD4AEC" w:rsidRDefault="007C64B4" w:rsidP="007C64B4">
            <w:pPr>
              <w:jc w:val="center"/>
              <w:rPr>
                <w:sz w:val="22"/>
                <w:szCs w:val="22"/>
                <w:lang w:val="en-GB"/>
              </w:rPr>
            </w:pPr>
            <w:r w:rsidRPr="00FD4AEC">
              <w:rPr>
                <w:sz w:val="22"/>
                <w:szCs w:val="22"/>
                <w:lang w:val="en-GB"/>
              </w:rPr>
              <w:t>N/A</w:t>
            </w:r>
          </w:p>
        </w:tc>
        <w:tc>
          <w:tcPr>
            <w:tcW w:w="1665" w:type="dxa"/>
            <w:vAlign w:val="bottom"/>
          </w:tcPr>
          <w:p w:rsidR="007C64B4" w:rsidRPr="00FD4AEC" w:rsidRDefault="007C64B4" w:rsidP="007C64B4">
            <w:pPr>
              <w:jc w:val="center"/>
              <w:rPr>
                <w:sz w:val="22"/>
                <w:szCs w:val="22"/>
                <w:lang w:val="en-GB"/>
              </w:rPr>
            </w:pPr>
            <w:r w:rsidRPr="00FD4AEC">
              <w:rPr>
                <w:sz w:val="22"/>
                <w:szCs w:val="22"/>
                <w:lang w:val="en-GB"/>
              </w:rPr>
              <w:t>20</w:t>
            </w:r>
            <w:r w:rsidRPr="00FD4AEC">
              <w:rPr>
                <w:rStyle w:val="Appelnotedebasdep"/>
                <w:sz w:val="22"/>
                <w:szCs w:val="22"/>
                <w:lang w:val="en-GB"/>
              </w:rPr>
              <w:footnoteReference w:id="53"/>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842" w:type="dxa"/>
          </w:tcPr>
          <w:p w:rsidR="007C64B4" w:rsidRPr="00FD4AEC" w:rsidRDefault="007C64B4" w:rsidP="007C64B4">
            <w:pPr>
              <w:jc w:val="center"/>
              <w:rPr>
                <w:sz w:val="22"/>
                <w:szCs w:val="22"/>
              </w:rPr>
            </w:pPr>
            <w:r w:rsidRPr="00FD4AEC">
              <w:rPr>
                <w:sz w:val="22"/>
                <w:szCs w:val="22"/>
                <w:lang w:val="en-GB"/>
              </w:rPr>
              <w:t>N/A</w:t>
            </w:r>
          </w:p>
        </w:tc>
        <w:tc>
          <w:tcPr>
            <w:tcW w:w="1701" w:type="dxa"/>
          </w:tcPr>
          <w:p w:rsidR="007C64B4" w:rsidRPr="00FD4AEC" w:rsidRDefault="007C64B4" w:rsidP="007C64B4">
            <w:pPr>
              <w:jc w:val="center"/>
              <w:rPr>
                <w:sz w:val="22"/>
                <w:szCs w:val="22"/>
              </w:rPr>
            </w:pPr>
            <w:r w:rsidRPr="00FD4AEC">
              <w:rPr>
                <w:sz w:val="22"/>
                <w:szCs w:val="22"/>
                <w:lang w:val="en-GB"/>
              </w:rPr>
              <w:t>N/A</w:t>
            </w:r>
          </w:p>
        </w:tc>
        <w:tc>
          <w:tcPr>
            <w:tcW w:w="1701" w:type="dxa"/>
          </w:tcPr>
          <w:p w:rsidR="007C64B4" w:rsidRPr="00FD4AEC" w:rsidRDefault="007C64B4" w:rsidP="007C64B4">
            <w:pPr>
              <w:jc w:val="center"/>
              <w:rPr>
                <w:sz w:val="22"/>
                <w:szCs w:val="22"/>
              </w:rPr>
            </w:pPr>
            <w:r w:rsidRPr="00FD4AEC">
              <w:rPr>
                <w:sz w:val="22"/>
                <w:szCs w:val="22"/>
                <w:lang w:val="en-GB"/>
              </w:rPr>
              <w:t>N/A</w:t>
            </w:r>
          </w:p>
        </w:tc>
        <w:tc>
          <w:tcPr>
            <w:tcW w:w="1665" w:type="dxa"/>
          </w:tcPr>
          <w:p w:rsidR="007C64B4" w:rsidRPr="00FD4AEC" w:rsidRDefault="007C64B4" w:rsidP="007C64B4">
            <w:pPr>
              <w:jc w:val="center"/>
              <w:rPr>
                <w:sz w:val="22"/>
                <w:szCs w:val="22"/>
              </w:rPr>
            </w:pPr>
            <w:r w:rsidRPr="00FD4AEC">
              <w:rPr>
                <w:sz w:val="22"/>
                <w:szCs w:val="22"/>
                <w:lang w:val="en-GB"/>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2" w:type="dxa"/>
          </w:tcPr>
          <w:p w:rsidR="007C64B4" w:rsidRPr="00FD4AEC" w:rsidRDefault="007C64B4" w:rsidP="007C64B4">
            <w:pPr>
              <w:jc w:val="center"/>
              <w:rPr>
                <w:sz w:val="22"/>
                <w:szCs w:val="22"/>
              </w:rPr>
            </w:pPr>
            <w:r w:rsidRPr="00FD4AEC">
              <w:rPr>
                <w:sz w:val="22"/>
                <w:szCs w:val="22"/>
                <w:lang w:val="en-GB"/>
              </w:rPr>
              <w:t>N/A</w:t>
            </w:r>
          </w:p>
        </w:tc>
        <w:tc>
          <w:tcPr>
            <w:tcW w:w="1701" w:type="dxa"/>
          </w:tcPr>
          <w:p w:rsidR="007C64B4" w:rsidRPr="00FD4AEC" w:rsidRDefault="007C64B4" w:rsidP="007C64B4">
            <w:pPr>
              <w:jc w:val="center"/>
              <w:rPr>
                <w:sz w:val="22"/>
                <w:szCs w:val="22"/>
              </w:rPr>
            </w:pPr>
            <w:r w:rsidRPr="00FD4AEC">
              <w:rPr>
                <w:sz w:val="22"/>
                <w:szCs w:val="22"/>
                <w:lang w:val="en-GB"/>
              </w:rPr>
              <w:t>N/A</w:t>
            </w:r>
          </w:p>
        </w:tc>
        <w:tc>
          <w:tcPr>
            <w:tcW w:w="1701" w:type="dxa"/>
          </w:tcPr>
          <w:p w:rsidR="007C64B4" w:rsidRPr="00FD4AEC" w:rsidRDefault="007C64B4" w:rsidP="007C64B4">
            <w:pPr>
              <w:jc w:val="center"/>
              <w:rPr>
                <w:sz w:val="22"/>
                <w:szCs w:val="22"/>
              </w:rPr>
            </w:pPr>
            <w:r w:rsidRPr="00FD4AEC">
              <w:rPr>
                <w:sz w:val="22"/>
                <w:szCs w:val="22"/>
                <w:lang w:val="en-GB"/>
              </w:rPr>
              <w:t>N/A</w:t>
            </w:r>
          </w:p>
        </w:tc>
        <w:tc>
          <w:tcPr>
            <w:tcW w:w="1665" w:type="dxa"/>
          </w:tcPr>
          <w:p w:rsidR="007C64B4" w:rsidRPr="00FD4AEC" w:rsidRDefault="007C64B4" w:rsidP="007C64B4">
            <w:pPr>
              <w:jc w:val="center"/>
              <w:rPr>
                <w:sz w:val="22"/>
                <w:szCs w:val="22"/>
              </w:rPr>
            </w:pPr>
            <w:r w:rsidRPr="00FD4AEC">
              <w:rPr>
                <w:sz w:val="22"/>
                <w:szCs w:val="22"/>
                <w:lang w:val="en-GB"/>
              </w:rPr>
              <w:t>160</w:t>
            </w:r>
            <w:r w:rsidRPr="00FD4AEC">
              <w:rPr>
                <w:rStyle w:val="Appelnotedebasdep"/>
                <w:sz w:val="22"/>
                <w:szCs w:val="22"/>
                <w:lang w:val="en-GB"/>
              </w:rPr>
              <w:footnoteReference w:id="54"/>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2" w:type="dxa"/>
          </w:tcPr>
          <w:p w:rsidR="007C64B4" w:rsidRPr="00FD4AEC" w:rsidRDefault="007C64B4" w:rsidP="007C64B4">
            <w:pPr>
              <w:jc w:val="center"/>
              <w:rPr>
                <w:sz w:val="22"/>
                <w:szCs w:val="22"/>
                <w:lang w:val="en-GB"/>
              </w:rPr>
            </w:pPr>
            <w:r w:rsidRPr="00FD4AEC">
              <w:rPr>
                <w:sz w:val="22"/>
                <w:szCs w:val="22"/>
                <w:lang w:val="en-GB"/>
              </w:rPr>
              <w:t xml:space="preserve"> N/A</w:t>
            </w:r>
          </w:p>
        </w:tc>
        <w:tc>
          <w:tcPr>
            <w:tcW w:w="1701" w:type="dxa"/>
          </w:tcPr>
          <w:p w:rsidR="007C64B4" w:rsidRPr="00FD4AEC" w:rsidRDefault="007C64B4" w:rsidP="007C64B4">
            <w:pPr>
              <w:jc w:val="center"/>
              <w:rPr>
                <w:sz w:val="22"/>
                <w:szCs w:val="22"/>
                <w:lang w:val="en-GB"/>
              </w:rPr>
            </w:pPr>
            <w:r w:rsidRPr="00FD4AEC">
              <w:rPr>
                <w:sz w:val="22"/>
                <w:szCs w:val="22"/>
                <w:lang w:val="en-GB"/>
              </w:rPr>
              <w:t>27</w:t>
            </w:r>
          </w:p>
        </w:tc>
        <w:tc>
          <w:tcPr>
            <w:tcW w:w="1701" w:type="dxa"/>
          </w:tcPr>
          <w:p w:rsidR="007C64B4" w:rsidRPr="00FD4AEC" w:rsidRDefault="007C64B4" w:rsidP="007C64B4">
            <w:pPr>
              <w:jc w:val="center"/>
              <w:rPr>
                <w:sz w:val="22"/>
                <w:szCs w:val="22"/>
                <w:lang w:val="en-GB"/>
              </w:rPr>
            </w:pPr>
            <w:r w:rsidRPr="00FD4AEC">
              <w:rPr>
                <w:sz w:val="22"/>
                <w:szCs w:val="22"/>
                <w:lang w:val="en-GB"/>
              </w:rPr>
              <w:t>N/A</w:t>
            </w:r>
          </w:p>
        </w:tc>
        <w:tc>
          <w:tcPr>
            <w:tcW w:w="1665" w:type="dxa"/>
          </w:tcPr>
          <w:p w:rsidR="007C64B4" w:rsidRPr="00FD4AEC" w:rsidRDefault="007C64B4" w:rsidP="007C64B4">
            <w:pPr>
              <w:jc w:val="center"/>
              <w:rPr>
                <w:sz w:val="22"/>
                <w:szCs w:val="22"/>
                <w:lang w:val="en-GB"/>
              </w:rPr>
            </w:pPr>
            <w:r w:rsidRPr="00FD4AEC">
              <w:rPr>
                <w:sz w:val="22"/>
                <w:szCs w:val="22"/>
                <w:lang w:val="en-GB"/>
              </w:rPr>
              <w:t>N/A</w:t>
            </w:r>
          </w:p>
        </w:tc>
      </w:tr>
    </w:tbl>
    <w:p w:rsidR="007C64B4" w:rsidRPr="0027024B" w:rsidRDefault="007C64B4" w:rsidP="007C64B4">
      <w:pPr>
        <w:jc w:val="center"/>
        <w:rPr>
          <w:sz w:val="20"/>
          <w:lang w:val="en-GB"/>
        </w:rPr>
      </w:pPr>
      <w:r w:rsidRPr="007411AC">
        <w:rPr>
          <w:sz w:val="20"/>
          <w:lang w:val="en-GB"/>
        </w:rPr>
        <w:t xml:space="preserve">Table </w:t>
      </w:r>
      <w:r w:rsidRPr="00096A00">
        <w:rPr>
          <w:sz w:val="20"/>
          <w:szCs w:val="20"/>
        </w:rPr>
        <w:fldChar w:fldCharType="begin"/>
      </w:r>
      <w:r w:rsidRPr="00096A00">
        <w:rPr>
          <w:sz w:val="20"/>
          <w:szCs w:val="20"/>
          <w:lang w:val="en-US"/>
        </w:rPr>
        <w:instrText xml:space="preserve"> SEQ Table \* ARABIC </w:instrText>
      </w:r>
      <w:r w:rsidRPr="00096A00">
        <w:rPr>
          <w:sz w:val="20"/>
          <w:szCs w:val="20"/>
        </w:rPr>
        <w:fldChar w:fldCharType="separate"/>
      </w:r>
      <w:r w:rsidR="0099201F">
        <w:rPr>
          <w:noProof/>
          <w:sz w:val="20"/>
          <w:szCs w:val="20"/>
          <w:lang w:val="en-US"/>
        </w:rPr>
        <w:t>24</w:t>
      </w:r>
      <w:r w:rsidRPr="00096A00">
        <w:rPr>
          <w:sz w:val="20"/>
          <w:szCs w:val="20"/>
        </w:rPr>
        <w:fldChar w:fldCharType="end"/>
      </w:r>
      <w:r w:rsidRPr="00096A00">
        <w:rPr>
          <w:sz w:val="20"/>
          <w:szCs w:val="20"/>
          <w:lang w:val="en-US"/>
        </w:rPr>
        <w:t>:</w:t>
      </w:r>
      <w:r w:rsidRPr="00A96026">
        <w:rPr>
          <w:sz w:val="20"/>
          <w:lang w:val="en-GB"/>
        </w:rPr>
        <w:t xml:space="preserve"> No of service facilities in </w:t>
      </w:r>
      <w:r w:rsidRPr="00334AA3">
        <w:rPr>
          <w:sz w:val="20"/>
          <w:lang w:val="en-GB"/>
        </w:rPr>
        <w:t>Spain according to the market monitoring survey</w:t>
      </w:r>
      <w:r w:rsidRPr="0006175C">
        <w:rPr>
          <w:sz w:val="20"/>
          <w:lang w:val="en-GB"/>
        </w:rPr>
        <w:t xml:space="preserve"> of IRG-Rail 201</w:t>
      </w:r>
      <w:r w:rsidRPr="00EB7B3B">
        <w:rPr>
          <w:sz w:val="20"/>
          <w:lang w:val="en-GB"/>
        </w:rPr>
        <w:t>6</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80" w:name="__RefHeading__5355_1151380434"/>
      <w:bookmarkStart w:id="81" w:name="_Toc494177969"/>
      <w:bookmarkStart w:id="82" w:name="_Toc495652247"/>
      <w:bookmarkStart w:id="83" w:name="_Toc496702671"/>
      <w:bookmarkEnd w:id="80"/>
      <w:proofErr w:type="spellStart"/>
      <w:r w:rsidRPr="0046443F">
        <w:rPr>
          <w:rFonts w:ascii="Times New Roman" w:hAnsi="Times New Roman" w:cs="Times New Roman"/>
          <w:b/>
          <w:color w:val="auto"/>
          <w:sz w:val="24"/>
          <w:szCs w:val="24"/>
        </w:rPr>
        <w:t>Sweden</w:t>
      </w:r>
      <w:bookmarkEnd w:id="81"/>
      <w:bookmarkEnd w:id="82"/>
      <w:bookmarkEnd w:id="83"/>
      <w:proofErr w:type="spellEnd"/>
    </w:p>
    <w:tbl>
      <w:tblPr>
        <w:tblStyle w:val="Grilledutableau"/>
        <w:tblW w:w="0" w:type="auto"/>
        <w:jc w:val="center"/>
        <w:tblLook w:val="04A0" w:firstRow="1" w:lastRow="0" w:firstColumn="1" w:lastColumn="0" w:noHBand="0" w:noVBand="1"/>
      </w:tblPr>
      <w:tblGrid>
        <w:gridCol w:w="2268"/>
        <w:gridCol w:w="1842"/>
        <w:gridCol w:w="1701"/>
        <w:gridCol w:w="1701"/>
        <w:gridCol w:w="1665"/>
      </w:tblGrid>
      <w:tr w:rsidR="007C64B4" w:rsidRPr="00282239" w:rsidTr="007C64B4">
        <w:trPr>
          <w:jc w:val="center"/>
        </w:trPr>
        <w:tc>
          <w:tcPr>
            <w:tcW w:w="9177" w:type="dxa"/>
            <w:gridSpan w:val="5"/>
          </w:tcPr>
          <w:p w:rsidR="007C64B4" w:rsidRPr="00C745E9" w:rsidRDefault="007C64B4" w:rsidP="007C64B4">
            <w:pPr>
              <w:jc w:val="center"/>
              <w:rPr>
                <w:lang w:val="en-GB"/>
              </w:rPr>
            </w:pPr>
            <w:r>
              <w:rPr>
                <w:lang w:val="en-US"/>
              </w:rPr>
              <w:t>Service facilities in Sweden in 2015</w:t>
            </w:r>
          </w:p>
        </w:tc>
      </w:tr>
      <w:tr w:rsidR="007C64B4" w:rsidRPr="00282239" w:rsidTr="007C64B4">
        <w:trPr>
          <w:jc w:val="center"/>
        </w:trPr>
        <w:tc>
          <w:tcPr>
            <w:tcW w:w="2268" w:type="dxa"/>
          </w:tcPr>
          <w:p w:rsidR="007C64B4" w:rsidRPr="00E9349B" w:rsidRDefault="007C64B4" w:rsidP="007C64B4">
            <w:pPr>
              <w:rPr>
                <w:lang w:val="en-US"/>
              </w:rPr>
            </w:pPr>
          </w:p>
        </w:tc>
        <w:tc>
          <w:tcPr>
            <w:tcW w:w="1842"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70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701" w:type="dxa"/>
          </w:tcPr>
          <w:p w:rsidR="007C64B4" w:rsidRPr="007411AC"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65" w:type="dxa"/>
          </w:tcPr>
          <w:p w:rsidR="007C64B4" w:rsidRPr="007411AC"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2" w:type="dxa"/>
          </w:tcPr>
          <w:p w:rsidR="007C64B4" w:rsidRPr="00FD4AEC" w:rsidRDefault="007C64B4" w:rsidP="007C64B4">
            <w:pPr>
              <w:jc w:val="center"/>
              <w:rPr>
                <w:sz w:val="22"/>
                <w:szCs w:val="22"/>
                <w:lang w:val="en-GB"/>
              </w:rPr>
            </w:pPr>
            <w:r w:rsidRPr="00FD4AEC">
              <w:rPr>
                <w:sz w:val="22"/>
                <w:szCs w:val="22"/>
                <w:lang w:val="en-GB"/>
              </w:rPr>
              <w:t>0</w:t>
            </w:r>
          </w:p>
        </w:tc>
        <w:tc>
          <w:tcPr>
            <w:tcW w:w="1701" w:type="dxa"/>
          </w:tcPr>
          <w:p w:rsidR="007C64B4" w:rsidRPr="00FD4AEC" w:rsidRDefault="007C64B4" w:rsidP="007C64B4">
            <w:pPr>
              <w:jc w:val="center"/>
              <w:rPr>
                <w:sz w:val="22"/>
                <w:szCs w:val="22"/>
                <w:lang w:val="en-GB"/>
              </w:rPr>
            </w:pPr>
            <w:r w:rsidRPr="00FD4AEC">
              <w:rPr>
                <w:sz w:val="22"/>
                <w:szCs w:val="22"/>
                <w:lang w:val="en-GB"/>
              </w:rPr>
              <w:t>N/A</w:t>
            </w:r>
          </w:p>
        </w:tc>
        <w:tc>
          <w:tcPr>
            <w:tcW w:w="1701" w:type="dxa"/>
          </w:tcPr>
          <w:p w:rsidR="007C64B4" w:rsidRPr="00FD4AEC" w:rsidRDefault="007C64B4" w:rsidP="007C64B4">
            <w:pPr>
              <w:jc w:val="center"/>
              <w:rPr>
                <w:sz w:val="22"/>
                <w:szCs w:val="22"/>
                <w:lang w:val="en-GB"/>
              </w:rPr>
            </w:pPr>
            <w:r w:rsidRPr="00FD4AEC">
              <w:rPr>
                <w:sz w:val="22"/>
                <w:szCs w:val="22"/>
                <w:lang w:val="en-GB"/>
              </w:rPr>
              <w:t>0</w:t>
            </w:r>
          </w:p>
        </w:tc>
        <w:tc>
          <w:tcPr>
            <w:tcW w:w="1665" w:type="dxa"/>
          </w:tcPr>
          <w:p w:rsidR="007C64B4" w:rsidRPr="00FD4AEC" w:rsidRDefault="007C64B4" w:rsidP="007C64B4">
            <w:pPr>
              <w:jc w:val="center"/>
              <w:rPr>
                <w:sz w:val="22"/>
                <w:szCs w:val="22"/>
                <w:lang w:val="en-GB"/>
              </w:rPr>
            </w:pPr>
            <w:r w:rsidRPr="00FD4AEC">
              <w:rPr>
                <w:sz w:val="22"/>
                <w:szCs w:val="22"/>
                <w:lang w:val="en-GB"/>
              </w:rPr>
              <w:t>130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842" w:type="dxa"/>
            <w:vAlign w:val="bottom"/>
          </w:tcPr>
          <w:p w:rsidR="007C64B4" w:rsidRPr="00FD4AEC" w:rsidRDefault="007C64B4" w:rsidP="007C64B4">
            <w:pPr>
              <w:jc w:val="center"/>
              <w:rPr>
                <w:sz w:val="22"/>
                <w:szCs w:val="22"/>
                <w:lang w:val="en-GB"/>
              </w:rPr>
            </w:pPr>
            <w:r w:rsidRPr="00FD4AEC">
              <w:rPr>
                <w:sz w:val="22"/>
                <w:szCs w:val="22"/>
                <w:lang w:val="en-GB"/>
              </w:rPr>
              <w:t>0</w:t>
            </w:r>
          </w:p>
        </w:tc>
        <w:tc>
          <w:tcPr>
            <w:tcW w:w="1701" w:type="dxa"/>
            <w:vAlign w:val="bottom"/>
          </w:tcPr>
          <w:p w:rsidR="007C64B4" w:rsidRPr="00FD4AEC" w:rsidRDefault="007C64B4" w:rsidP="007C64B4">
            <w:pPr>
              <w:jc w:val="center"/>
              <w:rPr>
                <w:sz w:val="22"/>
                <w:szCs w:val="22"/>
                <w:lang w:val="en-GB"/>
              </w:rPr>
            </w:pPr>
            <w:r w:rsidRPr="00FD4AEC">
              <w:rPr>
                <w:sz w:val="22"/>
                <w:szCs w:val="22"/>
                <w:lang w:val="en-GB"/>
              </w:rPr>
              <w:t>0</w:t>
            </w:r>
          </w:p>
        </w:tc>
        <w:tc>
          <w:tcPr>
            <w:tcW w:w="1701" w:type="dxa"/>
            <w:vAlign w:val="bottom"/>
          </w:tcPr>
          <w:p w:rsidR="007C64B4" w:rsidRPr="00FD4AEC" w:rsidRDefault="007C64B4" w:rsidP="007C64B4">
            <w:pPr>
              <w:jc w:val="center"/>
              <w:rPr>
                <w:sz w:val="22"/>
                <w:szCs w:val="22"/>
                <w:lang w:val="en-GB"/>
              </w:rPr>
            </w:pPr>
            <w:r w:rsidRPr="00FD4AEC">
              <w:rPr>
                <w:sz w:val="22"/>
                <w:szCs w:val="22"/>
                <w:lang w:val="en-GB"/>
              </w:rPr>
              <w:t>0</w:t>
            </w:r>
          </w:p>
        </w:tc>
        <w:tc>
          <w:tcPr>
            <w:tcW w:w="1665" w:type="dxa"/>
            <w:vAlign w:val="bottom"/>
          </w:tcPr>
          <w:p w:rsidR="007C64B4" w:rsidRPr="00FD4AEC" w:rsidRDefault="007C64B4" w:rsidP="007C64B4">
            <w:pPr>
              <w:jc w:val="center"/>
              <w:rPr>
                <w:sz w:val="22"/>
                <w:szCs w:val="22"/>
                <w:lang w:val="en-GB"/>
              </w:rPr>
            </w:pPr>
            <w:r w:rsidRPr="00FD4AEC">
              <w:rPr>
                <w:sz w:val="22"/>
                <w:szCs w:val="22"/>
                <w:lang w:val="en-GB"/>
              </w:rPr>
              <w:t>23</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p>
        </w:tc>
        <w:tc>
          <w:tcPr>
            <w:tcW w:w="1842" w:type="dxa"/>
          </w:tcPr>
          <w:p w:rsidR="007C64B4" w:rsidRPr="00FD4AEC" w:rsidRDefault="007C64B4" w:rsidP="007C64B4">
            <w:pPr>
              <w:jc w:val="center"/>
              <w:rPr>
                <w:sz w:val="22"/>
                <w:szCs w:val="22"/>
                <w:lang w:val="en-GB"/>
              </w:rPr>
            </w:pPr>
            <w:r w:rsidRPr="00FD4AEC">
              <w:rPr>
                <w:sz w:val="22"/>
                <w:szCs w:val="22"/>
                <w:lang w:val="en-GB"/>
              </w:rPr>
              <w:t>13</w:t>
            </w:r>
          </w:p>
        </w:tc>
        <w:tc>
          <w:tcPr>
            <w:tcW w:w="1701" w:type="dxa"/>
          </w:tcPr>
          <w:p w:rsidR="007C64B4" w:rsidRPr="00FD4AEC" w:rsidRDefault="007C64B4" w:rsidP="007C64B4">
            <w:pPr>
              <w:jc w:val="center"/>
              <w:rPr>
                <w:sz w:val="22"/>
                <w:szCs w:val="22"/>
                <w:lang w:val="en-GB"/>
              </w:rPr>
            </w:pPr>
            <w:r w:rsidRPr="00FD4AEC">
              <w:rPr>
                <w:sz w:val="22"/>
                <w:szCs w:val="22"/>
                <w:lang w:val="en-GB"/>
              </w:rPr>
              <w:t>0</w:t>
            </w:r>
          </w:p>
        </w:tc>
        <w:tc>
          <w:tcPr>
            <w:tcW w:w="1701" w:type="dxa"/>
          </w:tcPr>
          <w:p w:rsidR="007C64B4" w:rsidRPr="00FD4AEC" w:rsidRDefault="007C64B4" w:rsidP="007C64B4">
            <w:pPr>
              <w:jc w:val="center"/>
              <w:rPr>
                <w:sz w:val="22"/>
                <w:szCs w:val="22"/>
                <w:lang w:val="en-GB"/>
              </w:rPr>
            </w:pPr>
            <w:r w:rsidRPr="00FD4AEC">
              <w:rPr>
                <w:sz w:val="22"/>
                <w:szCs w:val="22"/>
                <w:lang w:val="en-GB"/>
              </w:rPr>
              <w:t>0</w:t>
            </w:r>
          </w:p>
        </w:tc>
        <w:tc>
          <w:tcPr>
            <w:tcW w:w="1665" w:type="dxa"/>
          </w:tcPr>
          <w:p w:rsidR="007C64B4" w:rsidRPr="00FD4AEC" w:rsidRDefault="007C64B4" w:rsidP="007C64B4">
            <w:pPr>
              <w:jc w:val="center"/>
              <w:rPr>
                <w:sz w:val="22"/>
                <w:szCs w:val="22"/>
                <w:lang w:val="en-GB"/>
              </w:rPr>
            </w:pPr>
            <w:r w:rsidRPr="00FD4AEC">
              <w:rPr>
                <w:sz w:val="22"/>
                <w:szCs w:val="22"/>
                <w:lang w:val="en-GB"/>
              </w:rPr>
              <w:t>0</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2" w:type="dxa"/>
          </w:tcPr>
          <w:p w:rsidR="007C64B4" w:rsidRPr="00FD4AEC" w:rsidRDefault="007C64B4" w:rsidP="007C64B4">
            <w:pPr>
              <w:jc w:val="center"/>
              <w:rPr>
                <w:sz w:val="22"/>
                <w:szCs w:val="22"/>
                <w:lang w:val="en-GB"/>
              </w:rPr>
            </w:pPr>
            <w:r w:rsidRPr="00FD4AEC">
              <w:rPr>
                <w:sz w:val="22"/>
                <w:szCs w:val="22"/>
                <w:lang w:val="en-GB"/>
              </w:rPr>
              <w:t>1</w:t>
            </w:r>
          </w:p>
        </w:tc>
        <w:tc>
          <w:tcPr>
            <w:tcW w:w="1701" w:type="dxa"/>
          </w:tcPr>
          <w:p w:rsidR="007C64B4" w:rsidRPr="00FD4AEC" w:rsidRDefault="007C64B4" w:rsidP="007C64B4">
            <w:pPr>
              <w:jc w:val="center"/>
              <w:rPr>
                <w:sz w:val="22"/>
                <w:szCs w:val="22"/>
                <w:lang w:val="en-GB"/>
              </w:rPr>
            </w:pPr>
            <w:r w:rsidRPr="00FD4AEC">
              <w:rPr>
                <w:sz w:val="22"/>
                <w:szCs w:val="22"/>
                <w:lang w:val="en-GB"/>
              </w:rPr>
              <w:t>0</w:t>
            </w:r>
          </w:p>
        </w:tc>
        <w:tc>
          <w:tcPr>
            <w:tcW w:w="1701" w:type="dxa"/>
          </w:tcPr>
          <w:p w:rsidR="007C64B4" w:rsidRPr="00FD4AEC" w:rsidRDefault="007C64B4" w:rsidP="007C64B4">
            <w:pPr>
              <w:jc w:val="center"/>
              <w:rPr>
                <w:sz w:val="22"/>
                <w:szCs w:val="22"/>
                <w:lang w:val="en-GB"/>
              </w:rPr>
            </w:pPr>
            <w:r w:rsidRPr="00FD4AEC">
              <w:rPr>
                <w:sz w:val="22"/>
                <w:szCs w:val="22"/>
                <w:lang w:val="en-GB"/>
              </w:rPr>
              <w:t>2</w:t>
            </w:r>
          </w:p>
        </w:tc>
        <w:tc>
          <w:tcPr>
            <w:tcW w:w="1665" w:type="dxa"/>
          </w:tcPr>
          <w:p w:rsidR="007C64B4" w:rsidRPr="00FD4AEC" w:rsidRDefault="007C64B4" w:rsidP="007C64B4">
            <w:pPr>
              <w:jc w:val="center"/>
              <w:rPr>
                <w:sz w:val="22"/>
                <w:szCs w:val="22"/>
                <w:lang w:val="en-GB"/>
              </w:rPr>
            </w:pPr>
            <w:r w:rsidRPr="00FD4AEC">
              <w:rPr>
                <w:sz w:val="22"/>
                <w:szCs w:val="22"/>
                <w:lang w:val="en-GB"/>
              </w:rPr>
              <w:t>45</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2" w:type="dxa"/>
          </w:tcPr>
          <w:p w:rsidR="007C64B4" w:rsidRPr="00FD4AEC" w:rsidRDefault="007C64B4" w:rsidP="007C64B4">
            <w:pPr>
              <w:jc w:val="center"/>
              <w:rPr>
                <w:sz w:val="22"/>
                <w:szCs w:val="22"/>
                <w:lang w:val="en-GB"/>
              </w:rPr>
            </w:pPr>
            <w:r w:rsidRPr="00FD4AEC">
              <w:rPr>
                <w:sz w:val="22"/>
                <w:szCs w:val="22"/>
                <w:lang w:val="en-GB"/>
              </w:rPr>
              <w:t>0</w:t>
            </w:r>
          </w:p>
        </w:tc>
        <w:tc>
          <w:tcPr>
            <w:tcW w:w="1701" w:type="dxa"/>
          </w:tcPr>
          <w:p w:rsidR="007C64B4" w:rsidRPr="00FD4AEC" w:rsidRDefault="007C64B4" w:rsidP="007C64B4">
            <w:pPr>
              <w:jc w:val="center"/>
              <w:rPr>
                <w:sz w:val="22"/>
                <w:szCs w:val="22"/>
                <w:lang w:val="en-GB"/>
              </w:rPr>
            </w:pPr>
            <w:r w:rsidRPr="00FD4AEC">
              <w:rPr>
                <w:sz w:val="22"/>
                <w:szCs w:val="22"/>
                <w:lang w:val="en-GB"/>
              </w:rPr>
              <w:t>N/A</w:t>
            </w:r>
          </w:p>
        </w:tc>
        <w:tc>
          <w:tcPr>
            <w:tcW w:w="1701" w:type="dxa"/>
          </w:tcPr>
          <w:p w:rsidR="007C64B4" w:rsidRPr="00FD4AEC" w:rsidRDefault="007C64B4" w:rsidP="007C64B4">
            <w:pPr>
              <w:jc w:val="center"/>
              <w:rPr>
                <w:sz w:val="22"/>
                <w:szCs w:val="22"/>
                <w:lang w:val="en-GB"/>
              </w:rPr>
            </w:pPr>
            <w:r w:rsidRPr="00FD4AEC">
              <w:rPr>
                <w:sz w:val="22"/>
                <w:szCs w:val="22"/>
                <w:lang w:val="en-GB"/>
              </w:rPr>
              <w:t>N/A</w:t>
            </w:r>
          </w:p>
        </w:tc>
        <w:tc>
          <w:tcPr>
            <w:tcW w:w="1665" w:type="dxa"/>
          </w:tcPr>
          <w:p w:rsidR="007C64B4" w:rsidRPr="00FD4AEC" w:rsidRDefault="007C64B4" w:rsidP="007C64B4">
            <w:pPr>
              <w:jc w:val="center"/>
              <w:rPr>
                <w:sz w:val="22"/>
                <w:szCs w:val="22"/>
                <w:lang w:val="en-GB"/>
              </w:rPr>
            </w:pPr>
            <w:r w:rsidRPr="00FD4AEC">
              <w:rPr>
                <w:sz w:val="22"/>
                <w:szCs w:val="22"/>
                <w:lang w:val="en-GB"/>
              </w:rPr>
              <w:t>N/A</w:t>
            </w:r>
          </w:p>
        </w:tc>
      </w:tr>
    </w:tbl>
    <w:p w:rsidR="007C64B4" w:rsidRPr="0027024B" w:rsidRDefault="007C64B4" w:rsidP="007C64B4">
      <w:pPr>
        <w:jc w:val="center"/>
        <w:rPr>
          <w:sz w:val="20"/>
          <w:lang w:val="en-GB"/>
        </w:rPr>
      </w:pPr>
      <w:r w:rsidRPr="007411AC">
        <w:rPr>
          <w:sz w:val="20"/>
          <w:lang w:val="en-GB"/>
        </w:rPr>
        <w:t xml:space="preserve">Table </w:t>
      </w:r>
      <w:r w:rsidRPr="00096A00">
        <w:rPr>
          <w:sz w:val="20"/>
          <w:szCs w:val="20"/>
        </w:rPr>
        <w:fldChar w:fldCharType="begin"/>
      </w:r>
      <w:r w:rsidRPr="00096A00">
        <w:rPr>
          <w:sz w:val="20"/>
          <w:szCs w:val="20"/>
          <w:lang w:val="en-US"/>
        </w:rPr>
        <w:instrText xml:space="preserve"> SEQ Table \* ARABIC </w:instrText>
      </w:r>
      <w:r w:rsidRPr="00096A00">
        <w:rPr>
          <w:sz w:val="20"/>
          <w:szCs w:val="20"/>
        </w:rPr>
        <w:fldChar w:fldCharType="separate"/>
      </w:r>
      <w:r w:rsidR="0099201F">
        <w:rPr>
          <w:noProof/>
          <w:sz w:val="20"/>
          <w:szCs w:val="20"/>
          <w:lang w:val="en-US"/>
        </w:rPr>
        <w:t>25</w:t>
      </w:r>
      <w:r w:rsidRPr="00096A00">
        <w:rPr>
          <w:sz w:val="20"/>
          <w:szCs w:val="20"/>
        </w:rPr>
        <w:fldChar w:fldCharType="end"/>
      </w:r>
      <w:r>
        <w:rPr>
          <w:sz w:val="20"/>
          <w:lang w:val="en-GB"/>
        </w:rPr>
        <w:t>:</w:t>
      </w:r>
      <w:r w:rsidRPr="00A96026">
        <w:rPr>
          <w:sz w:val="20"/>
          <w:lang w:val="en-GB"/>
        </w:rPr>
        <w:t xml:space="preserve"> No of service facilities in </w:t>
      </w:r>
      <w:r w:rsidRPr="00334AA3">
        <w:rPr>
          <w:sz w:val="20"/>
          <w:lang w:val="en-GB"/>
        </w:rPr>
        <w:t>Sweden according to the market monitoring survey</w:t>
      </w:r>
      <w:r w:rsidRPr="0006175C">
        <w:rPr>
          <w:sz w:val="20"/>
          <w:lang w:val="en-GB"/>
        </w:rPr>
        <w:t xml:space="preserve"> of IRG-Rail 2016</w:t>
      </w:r>
    </w:p>
    <w:p w:rsidR="007C64B4" w:rsidRPr="0046443F" w:rsidRDefault="007C64B4" w:rsidP="007C64B4">
      <w:pPr>
        <w:pStyle w:val="Titre1"/>
        <w:spacing w:line="360" w:lineRule="auto"/>
        <w:ind w:left="709"/>
        <w:rPr>
          <w:rFonts w:ascii="Times New Roman" w:hAnsi="Times New Roman" w:cs="Times New Roman"/>
          <w:b/>
          <w:color w:val="auto"/>
          <w:sz w:val="24"/>
          <w:szCs w:val="24"/>
        </w:rPr>
      </w:pPr>
      <w:bookmarkStart w:id="84" w:name="__RefHeading__5357_1151380434"/>
      <w:bookmarkStart w:id="85" w:name="_Toc494177970"/>
      <w:bookmarkStart w:id="86" w:name="_Toc495652248"/>
      <w:bookmarkStart w:id="87" w:name="_Toc496702672"/>
      <w:bookmarkEnd w:id="84"/>
      <w:r w:rsidRPr="0046443F">
        <w:rPr>
          <w:rFonts w:ascii="Times New Roman" w:hAnsi="Times New Roman" w:cs="Times New Roman"/>
          <w:b/>
          <w:color w:val="auto"/>
          <w:sz w:val="24"/>
          <w:szCs w:val="24"/>
        </w:rPr>
        <w:t xml:space="preserve">United </w:t>
      </w:r>
      <w:proofErr w:type="spellStart"/>
      <w:r w:rsidRPr="0046443F">
        <w:rPr>
          <w:rFonts w:ascii="Times New Roman" w:hAnsi="Times New Roman" w:cs="Times New Roman"/>
          <w:b/>
          <w:color w:val="auto"/>
          <w:sz w:val="24"/>
          <w:szCs w:val="24"/>
        </w:rPr>
        <w:t>Kingdom</w:t>
      </w:r>
      <w:bookmarkEnd w:id="85"/>
      <w:bookmarkEnd w:id="86"/>
      <w:bookmarkEnd w:id="87"/>
      <w:proofErr w:type="spellEnd"/>
    </w:p>
    <w:tbl>
      <w:tblPr>
        <w:tblStyle w:val="Grilledutableau"/>
        <w:tblW w:w="0" w:type="auto"/>
        <w:jc w:val="center"/>
        <w:tblLook w:val="04A0" w:firstRow="1" w:lastRow="0" w:firstColumn="1" w:lastColumn="0" w:noHBand="0" w:noVBand="1"/>
      </w:tblPr>
      <w:tblGrid>
        <w:gridCol w:w="2268"/>
        <w:gridCol w:w="1843"/>
        <w:gridCol w:w="1701"/>
        <w:gridCol w:w="1701"/>
        <w:gridCol w:w="1611"/>
        <w:gridCol w:w="54"/>
      </w:tblGrid>
      <w:tr w:rsidR="007C64B4" w:rsidRPr="00282239" w:rsidTr="007C64B4">
        <w:trPr>
          <w:gridAfter w:val="1"/>
          <w:wAfter w:w="54" w:type="dxa"/>
          <w:jc w:val="center"/>
        </w:trPr>
        <w:tc>
          <w:tcPr>
            <w:tcW w:w="9124" w:type="dxa"/>
            <w:gridSpan w:val="5"/>
          </w:tcPr>
          <w:p w:rsidR="007C64B4" w:rsidRPr="00C745E9" w:rsidRDefault="007C64B4" w:rsidP="007C64B4">
            <w:pPr>
              <w:jc w:val="center"/>
              <w:rPr>
                <w:lang w:val="en-GB"/>
              </w:rPr>
            </w:pPr>
            <w:r>
              <w:rPr>
                <w:lang w:val="en-US"/>
              </w:rPr>
              <w:t>Service facilities in United Kingdom in 2015</w:t>
            </w:r>
            <w:r>
              <w:rPr>
                <w:rStyle w:val="Appelnotedebasdep"/>
                <w:lang w:val="en-US"/>
              </w:rPr>
              <w:footnoteReference w:id="55"/>
            </w:r>
          </w:p>
        </w:tc>
      </w:tr>
      <w:tr w:rsidR="007C64B4" w:rsidRPr="00282239" w:rsidTr="007C64B4">
        <w:trPr>
          <w:jc w:val="center"/>
        </w:trPr>
        <w:tc>
          <w:tcPr>
            <w:tcW w:w="2268" w:type="dxa"/>
          </w:tcPr>
          <w:p w:rsidR="007C64B4" w:rsidRPr="00E9349B" w:rsidRDefault="007C64B4" w:rsidP="007C64B4">
            <w:pPr>
              <w:rPr>
                <w:lang w:val="en-US"/>
              </w:rPr>
            </w:pPr>
          </w:p>
        </w:tc>
        <w:tc>
          <w:tcPr>
            <w:tcW w:w="1843" w:type="dxa"/>
          </w:tcPr>
          <w:p w:rsidR="007C64B4" w:rsidRPr="00C745E9" w:rsidRDefault="007C64B4" w:rsidP="007C64B4">
            <w:pPr>
              <w:jc w:val="center"/>
              <w:rPr>
                <w:lang w:val="en-GB"/>
              </w:rPr>
            </w:pPr>
            <w:r w:rsidRPr="00C745E9">
              <w:rPr>
                <w:sz w:val="22"/>
                <w:szCs w:val="22"/>
                <w:lang w:val="en-GB"/>
              </w:rPr>
              <w:t>Incumbent RU</w:t>
            </w:r>
            <w:r>
              <w:rPr>
                <w:sz w:val="22"/>
                <w:szCs w:val="22"/>
                <w:lang w:val="en-GB"/>
              </w:rPr>
              <w:br/>
            </w:r>
            <w:r w:rsidRPr="006E049E">
              <w:rPr>
                <w:sz w:val="16"/>
                <w:szCs w:val="22"/>
                <w:lang w:val="en-GB"/>
              </w:rPr>
              <w:t>and related companies</w:t>
            </w:r>
          </w:p>
        </w:tc>
        <w:tc>
          <w:tcPr>
            <w:tcW w:w="1701" w:type="dxa"/>
          </w:tcPr>
          <w:p w:rsidR="007C64B4" w:rsidRPr="00C745E9" w:rsidRDefault="007C64B4" w:rsidP="007C64B4">
            <w:pPr>
              <w:jc w:val="center"/>
              <w:rPr>
                <w:lang w:val="en-GB"/>
              </w:rPr>
            </w:pPr>
            <w:r w:rsidRPr="00C745E9">
              <w:rPr>
                <w:sz w:val="22"/>
                <w:szCs w:val="22"/>
                <w:lang w:val="en-GB"/>
              </w:rPr>
              <w:t>IM</w:t>
            </w:r>
            <w:r>
              <w:rPr>
                <w:sz w:val="22"/>
                <w:szCs w:val="22"/>
                <w:lang w:val="en-GB"/>
              </w:rPr>
              <w:t xml:space="preserve"> </w:t>
            </w:r>
            <w:r>
              <w:rPr>
                <w:sz w:val="22"/>
                <w:szCs w:val="22"/>
                <w:lang w:val="en-GB"/>
              </w:rPr>
              <w:br/>
            </w:r>
            <w:r w:rsidRPr="003B4CD8">
              <w:rPr>
                <w:sz w:val="16"/>
                <w:szCs w:val="16"/>
                <w:lang w:val="en-GB"/>
              </w:rPr>
              <w:t xml:space="preserve">not related to </w:t>
            </w:r>
            <w:r>
              <w:rPr>
                <w:sz w:val="16"/>
                <w:szCs w:val="16"/>
                <w:lang w:val="en-GB"/>
              </w:rPr>
              <w:br/>
              <w:t>i</w:t>
            </w:r>
            <w:r w:rsidRPr="003B4CD8">
              <w:rPr>
                <w:sz w:val="16"/>
                <w:szCs w:val="16"/>
                <w:lang w:val="en-GB"/>
              </w:rPr>
              <w:t>ncumbent RU</w:t>
            </w:r>
          </w:p>
        </w:tc>
        <w:tc>
          <w:tcPr>
            <w:tcW w:w="1701" w:type="dxa"/>
          </w:tcPr>
          <w:p w:rsidR="007C64B4" w:rsidRPr="007411AC" w:rsidRDefault="007C64B4" w:rsidP="007C64B4">
            <w:pPr>
              <w:jc w:val="center"/>
              <w:rPr>
                <w:sz w:val="22"/>
                <w:lang w:val="en-GB"/>
              </w:rPr>
            </w:pPr>
            <w:r w:rsidRPr="00C745E9">
              <w:rPr>
                <w:sz w:val="22"/>
                <w:szCs w:val="22"/>
                <w:lang w:val="en-GB"/>
              </w:rPr>
              <w:t>Other RU</w:t>
            </w:r>
          </w:p>
          <w:p w:rsidR="007C64B4" w:rsidRPr="00C745E9" w:rsidRDefault="007C64B4" w:rsidP="007C64B4">
            <w:pPr>
              <w:jc w:val="center"/>
              <w:rPr>
                <w:lang w:val="en-GB"/>
              </w:rPr>
            </w:pPr>
            <w:r w:rsidRPr="003B4CD8">
              <w:rPr>
                <w:sz w:val="16"/>
                <w:szCs w:val="22"/>
                <w:lang w:val="en-GB"/>
              </w:rPr>
              <w:t>not related to</w:t>
            </w:r>
            <w:r>
              <w:rPr>
                <w:sz w:val="16"/>
                <w:szCs w:val="22"/>
                <w:lang w:val="en-GB"/>
              </w:rPr>
              <w:br/>
            </w:r>
            <w:r w:rsidRPr="003B4CD8">
              <w:rPr>
                <w:sz w:val="16"/>
                <w:szCs w:val="22"/>
                <w:lang w:val="en-GB"/>
              </w:rPr>
              <w:t>incumbent RU</w:t>
            </w:r>
          </w:p>
        </w:tc>
        <w:tc>
          <w:tcPr>
            <w:tcW w:w="1665" w:type="dxa"/>
            <w:gridSpan w:val="2"/>
          </w:tcPr>
          <w:p w:rsidR="007C64B4" w:rsidRPr="007411AC" w:rsidRDefault="007C64B4" w:rsidP="007C64B4">
            <w:pPr>
              <w:jc w:val="center"/>
              <w:rPr>
                <w:sz w:val="22"/>
                <w:lang w:val="en-GB"/>
              </w:rPr>
            </w:pPr>
            <w:r w:rsidRPr="00C745E9">
              <w:rPr>
                <w:sz w:val="22"/>
                <w:szCs w:val="22"/>
                <w:lang w:val="en-GB"/>
              </w:rPr>
              <w:t>Non- RU</w:t>
            </w:r>
          </w:p>
          <w:p w:rsidR="007C64B4" w:rsidRPr="00C745E9" w:rsidRDefault="007C64B4" w:rsidP="007C64B4">
            <w:pPr>
              <w:jc w:val="center"/>
              <w:rPr>
                <w:lang w:val="en-GB"/>
              </w:rPr>
            </w:pPr>
            <w:r w:rsidRPr="006E049E">
              <w:rPr>
                <w:sz w:val="16"/>
                <w:szCs w:val="22"/>
                <w:lang w:val="en-GB"/>
              </w:rPr>
              <w:t>not related to</w:t>
            </w:r>
            <w:r>
              <w:rPr>
                <w:sz w:val="16"/>
                <w:szCs w:val="22"/>
                <w:lang w:val="en-GB"/>
              </w:rPr>
              <w:br/>
            </w:r>
            <w:r w:rsidRPr="006E049E">
              <w:rPr>
                <w:sz w:val="16"/>
                <w:szCs w:val="22"/>
                <w:lang w:val="en-GB"/>
              </w:rPr>
              <w:t>incumbent RU</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Passenger stations</w:t>
            </w:r>
          </w:p>
        </w:tc>
        <w:tc>
          <w:tcPr>
            <w:tcW w:w="1843" w:type="dxa"/>
          </w:tcPr>
          <w:p w:rsidR="007C64B4" w:rsidRPr="00FD4AEC" w:rsidRDefault="007C64B4" w:rsidP="007C64B4">
            <w:pPr>
              <w:jc w:val="center"/>
              <w:rPr>
                <w:sz w:val="22"/>
                <w:szCs w:val="22"/>
                <w:lang w:val="en-GB"/>
              </w:rPr>
            </w:pPr>
          </w:p>
        </w:tc>
        <w:tc>
          <w:tcPr>
            <w:tcW w:w="1701" w:type="dxa"/>
          </w:tcPr>
          <w:p w:rsidR="007C64B4" w:rsidRPr="00FD4AEC" w:rsidRDefault="007C64B4" w:rsidP="007C64B4">
            <w:pPr>
              <w:jc w:val="center"/>
              <w:rPr>
                <w:sz w:val="22"/>
                <w:szCs w:val="22"/>
                <w:lang w:val="en-GB"/>
              </w:rPr>
            </w:pPr>
            <w:r w:rsidRPr="00FD4AEC">
              <w:rPr>
                <w:sz w:val="22"/>
                <w:szCs w:val="22"/>
                <w:lang w:val="en-GB"/>
              </w:rPr>
              <w:t>2539</w:t>
            </w:r>
          </w:p>
        </w:tc>
        <w:tc>
          <w:tcPr>
            <w:tcW w:w="1701" w:type="dxa"/>
          </w:tcPr>
          <w:p w:rsidR="007C64B4" w:rsidRPr="00FD4AEC" w:rsidRDefault="007C64B4" w:rsidP="007C64B4">
            <w:pPr>
              <w:jc w:val="center"/>
              <w:rPr>
                <w:sz w:val="22"/>
                <w:szCs w:val="22"/>
                <w:lang w:val="en-GB"/>
              </w:rPr>
            </w:pPr>
            <w:r w:rsidRPr="00FD4AEC">
              <w:rPr>
                <w:sz w:val="22"/>
                <w:szCs w:val="22"/>
                <w:lang w:val="en-GB"/>
              </w:rPr>
              <w:t>57</w:t>
            </w:r>
          </w:p>
        </w:tc>
        <w:tc>
          <w:tcPr>
            <w:tcW w:w="1665" w:type="dxa"/>
            <w:gridSpan w:val="2"/>
          </w:tcPr>
          <w:p w:rsidR="007C64B4" w:rsidRPr="00FD4AEC" w:rsidRDefault="007C64B4" w:rsidP="007C64B4">
            <w:pPr>
              <w:jc w:val="center"/>
              <w:rPr>
                <w:sz w:val="22"/>
                <w:szCs w:val="22"/>
                <w:lang w:val="en-GB"/>
              </w:rPr>
            </w:pP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Intermodal freight terminals</w:t>
            </w:r>
          </w:p>
        </w:tc>
        <w:tc>
          <w:tcPr>
            <w:tcW w:w="1843" w:type="dxa"/>
            <w:vAlign w:val="bottom"/>
          </w:tcPr>
          <w:p w:rsidR="007C64B4" w:rsidRPr="00FD4AEC" w:rsidRDefault="007C64B4" w:rsidP="007C64B4">
            <w:pPr>
              <w:jc w:val="center"/>
              <w:rPr>
                <w:sz w:val="22"/>
                <w:szCs w:val="22"/>
                <w:lang w:val="en-GB"/>
              </w:rPr>
            </w:pPr>
          </w:p>
        </w:tc>
        <w:tc>
          <w:tcPr>
            <w:tcW w:w="1701" w:type="dxa"/>
            <w:vAlign w:val="bottom"/>
          </w:tcPr>
          <w:p w:rsidR="007C64B4" w:rsidRPr="00FD4AEC" w:rsidRDefault="007C64B4" w:rsidP="007C64B4">
            <w:pPr>
              <w:jc w:val="center"/>
              <w:rPr>
                <w:sz w:val="22"/>
                <w:szCs w:val="22"/>
                <w:lang w:val="en-GB"/>
              </w:rPr>
            </w:pPr>
          </w:p>
        </w:tc>
        <w:tc>
          <w:tcPr>
            <w:tcW w:w="1701" w:type="dxa"/>
            <w:vAlign w:val="bottom"/>
          </w:tcPr>
          <w:p w:rsidR="007C64B4" w:rsidRPr="00FD4AEC" w:rsidRDefault="007C64B4" w:rsidP="007C64B4">
            <w:pPr>
              <w:jc w:val="center"/>
              <w:rPr>
                <w:sz w:val="22"/>
                <w:szCs w:val="22"/>
                <w:lang w:val="en-GB"/>
              </w:rPr>
            </w:pPr>
            <w:r w:rsidRPr="00FD4AEC">
              <w:rPr>
                <w:sz w:val="22"/>
                <w:szCs w:val="22"/>
                <w:lang w:val="en-GB"/>
              </w:rPr>
              <w:t>19</w:t>
            </w:r>
          </w:p>
        </w:tc>
        <w:tc>
          <w:tcPr>
            <w:tcW w:w="1665" w:type="dxa"/>
            <w:gridSpan w:val="2"/>
            <w:vAlign w:val="bottom"/>
          </w:tcPr>
          <w:p w:rsidR="007C64B4" w:rsidRPr="00FD4AEC" w:rsidRDefault="007C64B4" w:rsidP="007C64B4">
            <w:pPr>
              <w:jc w:val="center"/>
              <w:rPr>
                <w:sz w:val="22"/>
                <w:szCs w:val="22"/>
                <w:lang w:val="en-GB"/>
              </w:rPr>
            </w:pPr>
            <w:r w:rsidRPr="00FD4AEC">
              <w:rPr>
                <w:sz w:val="22"/>
                <w:szCs w:val="22"/>
                <w:lang w:val="en-GB"/>
              </w:rPr>
              <w:t>19</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Marshalling yards with gravity hills</w:t>
            </w:r>
            <w:r w:rsidRPr="00FD4AEC">
              <w:rPr>
                <w:rStyle w:val="Appelnotedebasdep"/>
                <w:sz w:val="22"/>
                <w:szCs w:val="22"/>
                <w:lang w:val="en-GB"/>
              </w:rPr>
              <w:footnoteReference w:id="56"/>
            </w:r>
          </w:p>
        </w:tc>
        <w:tc>
          <w:tcPr>
            <w:tcW w:w="1843" w:type="dxa"/>
          </w:tcPr>
          <w:p w:rsidR="007C64B4" w:rsidRPr="00FD4AEC" w:rsidRDefault="007C64B4" w:rsidP="007C64B4">
            <w:pPr>
              <w:jc w:val="center"/>
              <w:rPr>
                <w:sz w:val="22"/>
                <w:szCs w:val="22"/>
                <w:lang w:val="en-GB"/>
              </w:rPr>
            </w:pPr>
          </w:p>
        </w:tc>
        <w:tc>
          <w:tcPr>
            <w:tcW w:w="1701" w:type="dxa"/>
          </w:tcPr>
          <w:p w:rsidR="007C64B4" w:rsidRPr="00FD4AEC" w:rsidRDefault="007C64B4" w:rsidP="007C64B4">
            <w:pPr>
              <w:jc w:val="center"/>
              <w:rPr>
                <w:sz w:val="22"/>
                <w:szCs w:val="22"/>
                <w:lang w:val="en-GB"/>
              </w:rPr>
            </w:pPr>
            <w:r w:rsidRPr="00FD4AEC">
              <w:rPr>
                <w:sz w:val="22"/>
                <w:szCs w:val="22"/>
                <w:lang w:val="en-GB"/>
              </w:rPr>
              <w:t>N/A</w:t>
            </w:r>
          </w:p>
        </w:tc>
        <w:tc>
          <w:tcPr>
            <w:tcW w:w="1701" w:type="dxa"/>
          </w:tcPr>
          <w:p w:rsidR="007C64B4" w:rsidRPr="00FD4AEC" w:rsidRDefault="007C64B4" w:rsidP="007C64B4">
            <w:pPr>
              <w:jc w:val="center"/>
              <w:rPr>
                <w:sz w:val="22"/>
                <w:szCs w:val="22"/>
                <w:lang w:val="en-GB"/>
              </w:rPr>
            </w:pPr>
            <w:r w:rsidRPr="00FD4AEC">
              <w:rPr>
                <w:sz w:val="22"/>
                <w:szCs w:val="22"/>
                <w:lang w:val="en-GB"/>
              </w:rPr>
              <w:t>N/A</w:t>
            </w:r>
          </w:p>
        </w:tc>
        <w:tc>
          <w:tcPr>
            <w:tcW w:w="1665" w:type="dxa"/>
            <w:gridSpan w:val="2"/>
          </w:tcPr>
          <w:p w:rsidR="007C64B4" w:rsidRPr="00FD4AEC" w:rsidRDefault="007C64B4" w:rsidP="007C64B4">
            <w:pPr>
              <w:jc w:val="center"/>
              <w:rPr>
                <w:sz w:val="22"/>
                <w:szCs w:val="22"/>
                <w:lang w:val="en-GB"/>
              </w:rPr>
            </w:pPr>
            <w:r w:rsidRPr="00FD4AEC">
              <w:rPr>
                <w:sz w:val="22"/>
                <w:szCs w:val="22"/>
                <w:lang w:val="en-GB"/>
              </w:rPr>
              <w:t>N/A</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Maintenance facilities</w:t>
            </w:r>
          </w:p>
        </w:tc>
        <w:tc>
          <w:tcPr>
            <w:tcW w:w="1843" w:type="dxa"/>
          </w:tcPr>
          <w:p w:rsidR="007C64B4" w:rsidRPr="00FD4AEC" w:rsidRDefault="007C64B4" w:rsidP="007C64B4">
            <w:pPr>
              <w:jc w:val="center"/>
              <w:rPr>
                <w:sz w:val="22"/>
                <w:szCs w:val="22"/>
                <w:lang w:val="en-GB"/>
              </w:rPr>
            </w:pPr>
          </w:p>
        </w:tc>
        <w:tc>
          <w:tcPr>
            <w:tcW w:w="1701" w:type="dxa"/>
          </w:tcPr>
          <w:p w:rsidR="007C64B4" w:rsidRPr="00FD4AEC" w:rsidRDefault="007C64B4" w:rsidP="007C64B4">
            <w:pPr>
              <w:jc w:val="center"/>
              <w:rPr>
                <w:sz w:val="22"/>
                <w:szCs w:val="22"/>
                <w:lang w:val="en-GB"/>
              </w:rPr>
            </w:pPr>
            <w:r w:rsidRPr="00FD4AEC">
              <w:rPr>
                <w:sz w:val="22"/>
                <w:szCs w:val="22"/>
                <w:lang w:val="en-GB"/>
              </w:rPr>
              <w:t>94</w:t>
            </w:r>
          </w:p>
        </w:tc>
        <w:tc>
          <w:tcPr>
            <w:tcW w:w="1701" w:type="dxa"/>
          </w:tcPr>
          <w:p w:rsidR="007C64B4" w:rsidRPr="00FD4AEC" w:rsidRDefault="007C64B4" w:rsidP="007C64B4">
            <w:pPr>
              <w:jc w:val="center"/>
              <w:rPr>
                <w:sz w:val="22"/>
                <w:szCs w:val="22"/>
                <w:lang w:val="en-GB"/>
              </w:rPr>
            </w:pPr>
            <w:r w:rsidRPr="00FD4AEC">
              <w:rPr>
                <w:sz w:val="22"/>
                <w:szCs w:val="22"/>
                <w:lang w:val="en-GB"/>
              </w:rPr>
              <w:t>47</w:t>
            </w:r>
          </w:p>
        </w:tc>
        <w:tc>
          <w:tcPr>
            <w:tcW w:w="1665" w:type="dxa"/>
            <w:gridSpan w:val="2"/>
          </w:tcPr>
          <w:p w:rsidR="007C64B4" w:rsidRPr="00FD4AEC" w:rsidRDefault="007C64B4" w:rsidP="007C64B4">
            <w:pPr>
              <w:jc w:val="center"/>
              <w:rPr>
                <w:sz w:val="22"/>
                <w:szCs w:val="22"/>
                <w:lang w:val="en-GB"/>
              </w:rPr>
            </w:pPr>
            <w:r w:rsidRPr="00FD4AEC">
              <w:rPr>
                <w:sz w:val="22"/>
                <w:szCs w:val="22"/>
                <w:lang w:val="en-GB"/>
              </w:rPr>
              <w:t>8</w:t>
            </w:r>
          </w:p>
        </w:tc>
      </w:tr>
      <w:tr w:rsidR="007C64B4" w:rsidRPr="00FD4AEC" w:rsidTr="007C64B4">
        <w:trPr>
          <w:jc w:val="center"/>
        </w:trPr>
        <w:tc>
          <w:tcPr>
            <w:tcW w:w="2268" w:type="dxa"/>
          </w:tcPr>
          <w:p w:rsidR="007C64B4" w:rsidRPr="00FD4AEC" w:rsidRDefault="007C64B4" w:rsidP="007C64B4">
            <w:pPr>
              <w:rPr>
                <w:sz w:val="22"/>
                <w:szCs w:val="22"/>
                <w:lang w:val="en-GB"/>
              </w:rPr>
            </w:pPr>
            <w:r w:rsidRPr="00FD4AEC">
              <w:rPr>
                <w:sz w:val="22"/>
                <w:szCs w:val="22"/>
                <w:lang w:val="en-GB"/>
              </w:rPr>
              <w:t>Refuelling facilities</w:t>
            </w:r>
          </w:p>
        </w:tc>
        <w:tc>
          <w:tcPr>
            <w:tcW w:w="1843" w:type="dxa"/>
          </w:tcPr>
          <w:p w:rsidR="007C64B4" w:rsidRPr="00FD4AEC" w:rsidRDefault="007C64B4" w:rsidP="007C64B4">
            <w:pPr>
              <w:jc w:val="center"/>
              <w:rPr>
                <w:sz w:val="22"/>
                <w:szCs w:val="22"/>
                <w:lang w:val="en-GB"/>
              </w:rPr>
            </w:pPr>
          </w:p>
        </w:tc>
        <w:tc>
          <w:tcPr>
            <w:tcW w:w="1701" w:type="dxa"/>
          </w:tcPr>
          <w:p w:rsidR="007C64B4" w:rsidRPr="00FD4AEC" w:rsidRDefault="007C64B4" w:rsidP="007C64B4">
            <w:pPr>
              <w:jc w:val="center"/>
              <w:rPr>
                <w:sz w:val="22"/>
                <w:szCs w:val="22"/>
                <w:lang w:val="en-GB"/>
              </w:rPr>
            </w:pPr>
            <w:r w:rsidRPr="00FD4AEC">
              <w:rPr>
                <w:sz w:val="22"/>
                <w:szCs w:val="22"/>
                <w:lang w:val="en-GB"/>
              </w:rPr>
              <w:t>3</w:t>
            </w:r>
          </w:p>
        </w:tc>
        <w:tc>
          <w:tcPr>
            <w:tcW w:w="1701" w:type="dxa"/>
          </w:tcPr>
          <w:p w:rsidR="007C64B4" w:rsidRPr="00FD4AEC" w:rsidRDefault="007C64B4" w:rsidP="007C64B4">
            <w:pPr>
              <w:jc w:val="center"/>
              <w:rPr>
                <w:sz w:val="22"/>
                <w:szCs w:val="22"/>
                <w:lang w:val="en-GB"/>
              </w:rPr>
            </w:pPr>
          </w:p>
        </w:tc>
        <w:tc>
          <w:tcPr>
            <w:tcW w:w="1665" w:type="dxa"/>
            <w:gridSpan w:val="2"/>
          </w:tcPr>
          <w:p w:rsidR="007C64B4" w:rsidRPr="00FD4AEC" w:rsidRDefault="007C64B4" w:rsidP="007C64B4">
            <w:pPr>
              <w:jc w:val="center"/>
              <w:rPr>
                <w:sz w:val="22"/>
                <w:szCs w:val="22"/>
                <w:lang w:val="en-GB"/>
              </w:rPr>
            </w:pPr>
            <w:r w:rsidRPr="00FD4AEC">
              <w:rPr>
                <w:sz w:val="22"/>
                <w:szCs w:val="22"/>
                <w:lang w:val="en-GB"/>
              </w:rPr>
              <w:t>1</w:t>
            </w:r>
          </w:p>
        </w:tc>
      </w:tr>
    </w:tbl>
    <w:p w:rsidR="007C64B4" w:rsidRPr="0027024B" w:rsidRDefault="007C64B4" w:rsidP="007C64B4">
      <w:pPr>
        <w:jc w:val="center"/>
        <w:rPr>
          <w:sz w:val="20"/>
          <w:lang w:val="en-GB"/>
        </w:rPr>
      </w:pPr>
      <w:r w:rsidRPr="007411AC">
        <w:rPr>
          <w:sz w:val="20"/>
          <w:lang w:val="en-GB"/>
        </w:rPr>
        <w:t xml:space="preserve">Table </w:t>
      </w:r>
      <w:r w:rsidRPr="00096A00">
        <w:rPr>
          <w:sz w:val="20"/>
          <w:szCs w:val="20"/>
        </w:rPr>
        <w:fldChar w:fldCharType="begin"/>
      </w:r>
      <w:r w:rsidRPr="00096A00">
        <w:rPr>
          <w:sz w:val="20"/>
          <w:szCs w:val="20"/>
          <w:lang w:val="en-US"/>
        </w:rPr>
        <w:instrText xml:space="preserve"> SEQ Table \* ARABIC </w:instrText>
      </w:r>
      <w:r w:rsidRPr="00096A00">
        <w:rPr>
          <w:sz w:val="20"/>
          <w:szCs w:val="20"/>
        </w:rPr>
        <w:fldChar w:fldCharType="separate"/>
      </w:r>
      <w:r w:rsidR="0099201F">
        <w:rPr>
          <w:noProof/>
          <w:sz w:val="20"/>
          <w:szCs w:val="20"/>
          <w:lang w:val="en-US"/>
        </w:rPr>
        <w:t>26</w:t>
      </w:r>
      <w:r w:rsidRPr="00096A00">
        <w:rPr>
          <w:sz w:val="20"/>
          <w:szCs w:val="20"/>
        </w:rPr>
        <w:fldChar w:fldCharType="end"/>
      </w:r>
      <w:r w:rsidRPr="00916248">
        <w:rPr>
          <w:b/>
          <w:sz w:val="20"/>
          <w:szCs w:val="20"/>
          <w:lang w:val="en-GB"/>
        </w:rPr>
        <w:t>:</w:t>
      </w:r>
      <w:r w:rsidRPr="00A96026">
        <w:rPr>
          <w:sz w:val="20"/>
          <w:lang w:val="en-GB"/>
        </w:rPr>
        <w:t xml:space="preserve"> No of service facilities in </w:t>
      </w:r>
      <w:r w:rsidRPr="00334AA3">
        <w:rPr>
          <w:sz w:val="20"/>
          <w:lang w:val="en-GB"/>
        </w:rPr>
        <w:t>the United Kingdom according to the market monitoring survey</w:t>
      </w:r>
      <w:r w:rsidRPr="0006175C">
        <w:rPr>
          <w:sz w:val="20"/>
          <w:lang w:val="en-GB"/>
        </w:rPr>
        <w:t xml:space="preserve"> </w:t>
      </w:r>
      <w:r w:rsidRPr="00A96026">
        <w:rPr>
          <w:sz w:val="20"/>
          <w:lang w:val="en-GB"/>
        </w:rPr>
        <w:t>of IRG-Rail 201</w:t>
      </w:r>
      <w:r w:rsidRPr="00334AA3">
        <w:rPr>
          <w:sz w:val="20"/>
          <w:lang w:val="en-GB"/>
        </w:rPr>
        <w:t>6</w:t>
      </w:r>
    </w:p>
    <w:p w:rsidR="007C64B4" w:rsidRDefault="007C64B4" w:rsidP="007417FE">
      <w:pPr>
        <w:spacing w:after="240"/>
        <w:jc w:val="both"/>
        <w:rPr>
          <w:rFonts w:eastAsia="Calibri"/>
          <w:color w:val="000000" w:themeColor="text1"/>
          <w:lang w:val="en-GB"/>
        </w:rPr>
      </w:pPr>
      <w:r>
        <w:rPr>
          <w:rFonts w:eastAsia="Calibri"/>
          <w:color w:val="000000" w:themeColor="text1"/>
          <w:lang w:val="en-GB"/>
        </w:rPr>
        <w:lastRenderedPageBreak/>
        <w:t xml:space="preserve">Between 2015 and 2017, ORR made a number of decisions </w:t>
      </w:r>
      <w:r w:rsidRPr="00264A05">
        <w:rPr>
          <w:rFonts w:eastAsia="Calibri"/>
          <w:color w:val="000000" w:themeColor="text1"/>
          <w:lang w:val="en-GB"/>
        </w:rPr>
        <w:t>on charges for Service Facilities</w:t>
      </w:r>
      <w:r>
        <w:rPr>
          <w:rFonts w:eastAsia="Calibri"/>
          <w:color w:val="000000" w:themeColor="text1"/>
          <w:lang w:val="en-GB"/>
        </w:rPr>
        <w:t>, notably the following two:</w:t>
      </w:r>
    </w:p>
    <w:p w:rsidR="007C64B4" w:rsidRDefault="007C64B4" w:rsidP="007C64B4">
      <w:pPr>
        <w:jc w:val="both"/>
        <w:rPr>
          <w:rFonts w:eastAsia="Calibri"/>
          <w:color w:val="000000" w:themeColor="text1"/>
          <w:lang w:val="en-GB"/>
        </w:rPr>
      </w:pPr>
      <w:proofErr w:type="spellStart"/>
      <w:r>
        <w:rPr>
          <w:rFonts w:eastAsia="Calibri"/>
          <w:color w:val="000000" w:themeColor="text1"/>
          <w:lang w:val="en-GB"/>
        </w:rPr>
        <w:t>i</w:t>
      </w:r>
      <w:proofErr w:type="spellEnd"/>
      <w:r>
        <w:rPr>
          <w:rFonts w:eastAsia="Calibri"/>
          <w:color w:val="000000" w:themeColor="text1"/>
          <w:lang w:val="en-GB"/>
        </w:rPr>
        <w:t xml:space="preserve">) </w:t>
      </w:r>
      <w:r w:rsidRPr="007411AC">
        <w:rPr>
          <w:rFonts w:eastAsia="Calibri"/>
          <w:color w:val="000000" w:themeColor="text1"/>
          <w:lang w:val="en-GB"/>
        </w:rPr>
        <w:t xml:space="preserve">In September 2015 </w:t>
      </w:r>
      <w:r>
        <w:rPr>
          <w:rFonts w:eastAsia="Calibri"/>
          <w:color w:val="000000" w:themeColor="text1"/>
          <w:lang w:val="en-GB" w:eastAsia="en-US"/>
        </w:rPr>
        <w:t>the regulatory body</w:t>
      </w:r>
      <w:r w:rsidRPr="00A96026">
        <w:rPr>
          <w:rFonts w:eastAsia="Calibri"/>
          <w:color w:val="000000" w:themeColor="text1"/>
          <w:lang w:val="en-GB" w:eastAsia="en-US"/>
        </w:rPr>
        <w:t xml:space="preserve"> </w:t>
      </w:r>
      <w:r>
        <w:rPr>
          <w:rFonts w:eastAsia="Calibri"/>
          <w:color w:val="000000" w:themeColor="text1"/>
          <w:lang w:val="en-GB" w:eastAsia="en-US"/>
        </w:rPr>
        <w:t>(ORR)</w:t>
      </w:r>
      <w:r w:rsidRPr="007411AC">
        <w:rPr>
          <w:rFonts w:eastAsia="Calibri"/>
          <w:color w:val="000000" w:themeColor="text1"/>
          <w:lang w:val="en-GB"/>
        </w:rPr>
        <w:t xml:space="preserve"> directed a station access agreement under section 17 of the Railway Act 1993 for </w:t>
      </w:r>
      <w:proofErr w:type="spellStart"/>
      <w:r w:rsidRPr="007411AC">
        <w:rPr>
          <w:rFonts w:eastAsia="Calibri"/>
          <w:color w:val="000000" w:themeColor="text1"/>
          <w:lang w:val="en-GB"/>
        </w:rPr>
        <w:t>Southend</w:t>
      </w:r>
      <w:proofErr w:type="spellEnd"/>
      <w:r w:rsidRPr="007411AC">
        <w:rPr>
          <w:rFonts w:eastAsia="Calibri"/>
          <w:color w:val="000000" w:themeColor="text1"/>
          <w:lang w:val="en-GB"/>
        </w:rPr>
        <w:t xml:space="preserve"> Airport station (</w:t>
      </w:r>
      <w:hyperlink r:id="rId11" w:history="1">
        <w:r w:rsidRPr="007411AC">
          <w:rPr>
            <w:rFonts w:eastAsia="Calibri"/>
            <w:color w:val="000000" w:themeColor="text1"/>
            <w:u w:val="single"/>
            <w:lang w:val="en-GB"/>
          </w:rPr>
          <w:t>link</w:t>
        </w:r>
      </w:hyperlink>
      <w:r w:rsidRPr="007411AC">
        <w:rPr>
          <w:rFonts w:eastAsia="Calibri"/>
          <w:color w:val="000000" w:themeColor="text1"/>
          <w:lang w:val="en-GB"/>
        </w:rPr>
        <w:t>).</w:t>
      </w:r>
      <w:r>
        <w:rPr>
          <w:rFonts w:eastAsia="Calibri"/>
          <w:color w:val="000000" w:themeColor="text1"/>
          <w:lang w:val="en-GB"/>
        </w:rPr>
        <w:t xml:space="preserve"> </w:t>
      </w:r>
      <w:r w:rsidRPr="007411AC">
        <w:rPr>
          <w:rFonts w:eastAsia="Calibri"/>
          <w:color w:val="000000" w:themeColor="text1"/>
          <w:lang w:val="en-GB"/>
        </w:rPr>
        <w:t xml:space="preserve">Section 17 is used where the parties cannot agree on the terms of a new agreement. This is an independently owned station operated by </w:t>
      </w:r>
      <w:proofErr w:type="spellStart"/>
      <w:r w:rsidRPr="007411AC">
        <w:rPr>
          <w:rFonts w:eastAsia="Calibri"/>
          <w:color w:val="000000" w:themeColor="text1"/>
          <w:lang w:val="en-GB"/>
        </w:rPr>
        <w:t>Stobart</w:t>
      </w:r>
      <w:proofErr w:type="spellEnd"/>
      <w:r w:rsidRPr="007411AC">
        <w:rPr>
          <w:rFonts w:eastAsia="Calibri"/>
          <w:color w:val="000000" w:themeColor="text1"/>
          <w:lang w:val="en-GB"/>
        </w:rPr>
        <w:t xml:space="preserve"> Rail Limited (SRL), and the beneficiary to the agreement was </w:t>
      </w:r>
      <w:proofErr w:type="spellStart"/>
      <w:r w:rsidRPr="007411AC">
        <w:rPr>
          <w:rFonts w:eastAsia="Calibri"/>
          <w:color w:val="000000" w:themeColor="text1"/>
          <w:lang w:val="en-GB"/>
        </w:rPr>
        <w:t>Abellio</w:t>
      </w:r>
      <w:proofErr w:type="spellEnd"/>
      <w:r w:rsidRPr="007411AC">
        <w:rPr>
          <w:rFonts w:eastAsia="Calibri"/>
          <w:color w:val="000000" w:themeColor="text1"/>
          <w:lang w:val="en-GB"/>
        </w:rPr>
        <w:t xml:space="preserve"> Greater Anglia Limited (AGA). AGA applied to </w:t>
      </w:r>
      <w:r>
        <w:rPr>
          <w:rFonts w:eastAsia="Calibri"/>
          <w:color w:val="000000" w:themeColor="text1"/>
          <w:lang w:val="en-GB" w:eastAsia="en-US"/>
        </w:rPr>
        <w:t>the regulatory body</w:t>
      </w:r>
      <w:r w:rsidRPr="007411AC">
        <w:rPr>
          <w:rFonts w:eastAsia="Calibri"/>
          <w:color w:val="000000" w:themeColor="text1"/>
          <w:lang w:val="en-GB"/>
        </w:rPr>
        <w:t xml:space="preserve"> for directions as it had not been able to agree with STL a revision of the access charge mechanism and revenue share arrangements at the station. AGA disagreed with those arrangements already in place, and wanted to revert to the standard industry model of charging. The charging arrangements already in place at </w:t>
      </w:r>
      <w:proofErr w:type="spellStart"/>
      <w:r w:rsidRPr="007411AC">
        <w:rPr>
          <w:rFonts w:eastAsia="Calibri"/>
          <w:color w:val="000000" w:themeColor="text1"/>
          <w:lang w:val="en-GB"/>
        </w:rPr>
        <w:t>Southend</w:t>
      </w:r>
      <w:proofErr w:type="spellEnd"/>
      <w:r w:rsidRPr="007411AC">
        <w:rPr>
          <w:rFonts w:eastAsia="Calibri"/>
          <w:color w:val="000000" w:themeColor="text1"/>
          <w:lang w:val="en-GB"/>
        </w:rPr>
        <w:t xml:space="preserve"> Airport station allow SRL to retain 91% of all ticket sales to and from the station (less season ticket sales), and the arrangements also included a review mechanism. </w:t>
      </w:r>
      <w:r>
        <w:rPr>
          <w:rFonts w:eastAsia="Calibri"/>
          <w:color w:val="000000" w:themeColor="text1"/>
          <w:lang w:val="en-GB" w:eastAsia="en-US"/>
        </w:rPr>
        <w:t>ORR</w:t>
      </w:r>
      <w:r w:rsidRPr="007411AC">
        <w:rPr>
          <w:rFonts w:eastAsia="Calibri"/>
          <w:color w:val="000000" w:themeColor="text1"/>
          <w:lang w:val="en-GB"/>
        </w:rPr>
        <w:t xml:space="preserve"> decided that it was appropriate for the agreement to be governed by the same access charge and review provisions that already existed, as set out in the </w:t>
      </w:r>
      <w:proofErr w:type="spellStart"/>
      <w:r w:rsidRPr="007411AC">
        <w:rPr>
          <w:rFonts w:eastAsia="Calibri"/>
          <w:color w:val="000000" w:themeColor="text1"/>
          <w:lang w:val="en-GB"/>
        </w:rPr>
        <w:t>Stobart</w:t>
      </w:r>
      <w:proofErr w:type="spellEnd"/>
      <w:r w:rsidRPr="007411AC">
        <w:rPr>
          <w:rFonts w:eastAsia="Calibri"/>
          <w:color w:val="000000" w:themeColor="text1"/>
          <w:lang w:val="en-GB"/>
        </w:rPr>
        <w:t xml:space="preserve"> Station Access Conditions. The reason for this is that the charging arrangements were agreed by the parties (with Department for Transport agreement) following commercial negotiation, and have been enshrined in the contractual arrangements that govern access to the station. </w:t>
      </w:r>
      <w:r>
        <w:rPr>
          <w:rFonts w:eastAsia="Calibri"/>
          <w:color w:val="000000" w:themeColor="text1"/>
          <w:lang w:val="en-GB" w:eastAsia="en-US"/>
        </w:rPr>
        <w:t>ORR</w:t>
      </w:r>
      <w:r w:rsidRPr="007411AC">
        <w:rPr>
          <w:rFonts w:eastAsia="Calibri"/>
          <w:color w:val="000000" w:themeColor="text1"/>
          <w:lang w:val="en-GB"/>
        </w:rPr>
        <w:t xml:space="preserve"> did not consider it right to seek to overturn these arrangements, in part because it is contrary to the principle of providing contractual clarity to the parties, and it could put at risk the confidence of third parties to invest in the railway in the future.</w:t>
      </w:r>
      <w:r>
        <w:rPr>
          <w:rFonts w:eastAsia="Calibri"/>
          <w:color w:val="000000" w:themeColor="text1"/>
          <w:lang w:val="en-GB"/>
        </w:rPr>
        <w:t xml:space="preserve"> </w:t>
      </w:r>
    </w:p>
    <w:p w:rsidR="007C64B4" w:rsidRPr="00042EBE" w:rsidRDefault="007C64B4" w:rsidP="007C64B4">
      <w:pPr>
        <w:jc w:val="both"/>
        <w:rPr>
          <w:color w:val="000000" w:themeColor="text1"/>
          <w:lang w:val="en-US"/>
        </w:rPr>
      </w:pPr>
    </w:p>
    <w:p w:rsidR="007C64B4" w:rsidRPr="00014B56" w:rsidRDefault="007C64B4" w:rsidP="007C64B4">
      <w:pPr>
        <w:jc w:val="both"/>
        <w:rPr>
          <w:rFonts w:eastAsia="Calibri"/>
          <w:color w:val="000000" w:themeColor="text1"/>
          <w:lang w:val="en-GB"/>
        </w:rPr>
      </w:pPr>
      <w:bookmarkStart w:id="88" w:name="_Toc495652249"/>
      <w:r>
        <w:rPr>
          <w:rFonts w:eastAsia="Calibri"/>
          <w:color w:val="000000" w:themeColor="text1"/>
          <w:lang w:val="en-GB"/>
        </w:rPr>
        <w:t xml:space="preserve">ii) </w:t>
      </w:r>
      <w:r w:rsidRPr="00014B56">
        <w:rPr>
          <w:rFonts w:eastAsia="Calibri"/>
          <w:color w:val="000000" w:themeColor="text1"/>
          <w:lang w:val="en-GB"/>
        </w:rPr>
        <w:t>The Office of Rail and Road (ORR) also made a decision on an appeal made by DB Schenker Rail (UK) Limited (DBS) on 9 January 2015 under regulation 29 of The Railways Infrastructure (Access and Management) Regulations 2005 (the Regulations).</w:t>
      </w:r>
      <w:r>
        <w:rPr>
          <w:rFonts w:eastAsia="Calibri"/>
          <w:color w:val="000000" w:themeColor="text1"/>
          <w:lang w:val="en-GB"/>
        </w:rPr>
        <w:t xml:space="preserve"> </w:t>
      </w:r>
      <w:r w:rsidRPr="00014B56">
        <w:rPr>
          <w:rFonts w:eastAsia="Calibri"/>
          <w:color w:val="000000" w:themeColor="text1"/>
          <w:lang w:val="en-GB"/>
        </w:rPr>
        <w:t>2. The appeal concerned the refusal by Freightliner Limited (Freightliner) of DBS‘s request for access to, and services at, Freightliner Southampton Maritime Terminal (Maritime Terminal).</w:t>
      </w:r>
      <w:bookmarkEnd w:id="88"/>
      <w:r w:rsidRPr="00014B56">
        <w:rPr>
          <w:rFonts w:eastAsia="Calibri"/>
          <w:color w:val="000000" w:themeColor="text1"/>
          <w:lang w:val="en-GB"/>
        </w:rPr>
        <w:t xml:space="preserve"> </w:t>
      </w:r>
      <w:bookmarkStart w:id="89" w:name="_Toc495652250"/>
      <w:r w:rsidRPr="00014B56">
        <w:rPr>
          <w:rFonts w:eastAsia="Calibri"/>
          <w:color w:val="000000" w:themeColor="text1"/>
          <w:lang w:val="en-GB"/>
        </w:rPr>
        <w:t xml:space="preserve">ORR dismissed the appeal and determined that Freightliner Limited’s refusal to grant DB Schenker Rail (UK) Limited access and services on the terms sought was justified. For more details, please refer to </w:t>
      </w:r>
      <w:hyperlink r:id="rId12" w:history="1">
        <w:r w:rsidR="002D24CC">
          <w:rPr>
            <w:rFonts w:eastAsia="Calibri"/>
            <w:lang w:val="en-GB"/>
          </w:rPr>
          <w:t>http://orr.gov.uk/__data/assets/pdf_file/0004/19624/ORR-Decision.pdf</w:t>
        </w:r>
        <w:bookmarkEnd w:id="89"/>
      </w:hyperlink>
      <w:r w:rsidRPr="00014B56">
        <w:rPr>
          <w:rFonts w:eastAsia="Calibri"/>
          <w:color w:val="000000" w:themeColor="text1"/>
          <w:lang w:val="en-GB"/>
        </w:rPr>
        <w:t xml:space="preserve"> </w:t>
      </w:r>
    </w:p>
    <w:p w:rsidR="007C64B4" w:rsidRPr="007411AC" w:rsidRDefault="007C64B4" w:rsidP="007C64B4">
      <w:pPr>
        <w:outlineLvl w:val="0"/>
        <w:rPr>
          <w:b/>
          <w:u w:val="single"/>
          <w:lang w:val="en-GB"/>
        </w:rPr>
      </w:pPr>
    </w:p>
    <w:sectPr w:rsidR="007C64B4" w:rsidRPr="007411AC" w:rsidSect="00061900">
      <w:headerReference w:type="even" r:id="rId13"/>
      <w:headerReference w:type="default" r:id="rId14"/>
      <w:footerReference w:type="default" r:id="rId15"/>
      <w:headerReference w:type="first" r:id="rId16"/>
      <w:footerReference w:type="first" r:id="rId17"/>
      <w:pgSz w:w="11906" w:h="16838" w:code="9"/>
      <w:pgMar w:top="851" w:right="1418" w:bottom="1134" w:left="1418"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F8" w:rsidRDefault="001749F8">
      <w:r>
        <w:separator/>
      </w:r>
    </w:p>
  </w:endnote>
  <w:endnote w:type="continuationSeparator" w:id="0">
    <w:p w:rsidR="001749F8" w:rsidRDefault="001749F8">
      <w:r>
        <w:continuationSeparator/>
      </w:r>
    </w:p>
  </w:endnote>
  <w:endnote w:type="continuationNotice" w:id="1">
    <w:p w:rsidR="001749F8" w:rsidRDefault="00174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074137"/>
      <w:docPartObj>
        <w:docPartGallery w:val="Page Numbers (Bottom of Page)"/>
        <w:docPartUnique/>
      </w:docPartObj>
    </w:sdtPr>
    <w:sdtEndPr/>
    <w:sdtContent>
      <w:p w:rsidR="0089280F" w:rsidRDefault="0089280F">
        <w:pPr>
          <w:pStyle w:val="Pieddepage"/>
          <w:jc w:val="right"/>
        </w:pPr>
        <w:r w:rsidRPr="00BF22E8">
          <w:fldChar w:fldCharType="begin"/>
        </w:r>
        <w:r>
          <w:instrText>PAGE   \* MERGEFORMAT</w:instrText>
        </w:r>
        <w:r w:rsidRPr="00BF22E8">
          <w:fldChar w:fldCharType="separate"/>
        </w:r>
        <w:r w:rsidR="00E9248A" w:rsidRPr="00E9248A">
          <w:rPr>
            <w:noProof/>
            <w:lang w:val="fr-FR"/>
          </w:rPr>
          <w:t>28</w:t>
        </w:r>
        <w:r w:rsidRPr="00BF22E8">
          <w:fldChar w:fldCharType="end"/>
        </w:r>
      </w:p>
    </w:sdtContent>
  </w:sdt>
  <w:p w:rsidR="0089280F" w:rsidRDefault="0089280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0F" w:rsidRDefault="0089280F">
    <w:pPr>
      <w:pStyle w:val="Pieddepage"/>
      <w:jc w:val="center"/>
    </w:pPr>
  </w:p>
  <w:p w:rsidR="0089280F" w:rsidRPr="00870905" w:rsidRDefault="0089280F" w:rsidP="008709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F8" w:rsidRDefault="001749F8">
      <w:r>
        <w:separator/>
      </w:r>
    </w:p>
  </w:footnote>
  <w:footnote w:type="continuationSeparator" w:id="0">
    <w:p w:rsidR="001749F8" w:rsidRDefault="001749F8">
      <w:r>
        <w:continuationSeparator/>
      </w:r>
    </w:p>
  </w:footnote>
  <w:footnote w:type="continuationNotice" w:id="1">
    <w:p w:rsidR="001749F8" w:rsidRDefault="001749F8"/>
  </w:footnote>
  <w:footnote w:id="2">
    <w:p w:rsidR="00CC325D" w:rsidRPr="0089794B" w:rsidRDefault="00CC325D" w:rsidP="007C64B4">
      <w:pPr>
        <w:pStyle w:val="Notedebasdepage"/>
      </w:pPr>
      <w:r>
        <w:rPr>
          <w:rStyle w:val="Appelnotedebasdep"/>
        </w:rPr>
        <w:footnoteRef/>
      </w:r>
      <w:r>
        <w:t xml:space="preserve"> </w:t>
      </w:r>
      <w:r w:rsidRPr="0089794B">
        <w:t>If service facility operator is also infrastructure manager and/or railway undertaking, it must keep separate accounts for business relating to the management of railway infrastructure and/or for business relating to the provision of transport services by railway.</w:t>
      </w:r>
    </w:p>
  </w:footnote>
  <w:footnote w:id="3">
    <w:p w:rsidR="00CC325D" w:rsidRPr="00083E6F" w:rsidRDefault="00CC325D" w:rsidP="00C3305F">
      <w:pPr>
        <w:pStyle w:val="Notedebasdepage"/>
        <w:jc w:val="both"/>
      </w:pPr>
      <w:r w:rsidRPr="00083E6F">
        <w:rPr>
          <w:rStyle w:val="Appelnotedebasdep"/>
        </w:rPr>
        <w:footnoteRef/>
      </w:r>
      <w:r w:rsidRPr="00083E6F">
        <w:t xml:space="preserve"> Italy: </w:t>
      </w:r>
      <w:r>
        <w:t>Accounting separation is required depending on the services concerned and the typology of operator.</w:t>
      </w:r>
    </w:p>
  </w:footnote>
  <w:footnote w:id="4">
    <w:p w:rsidR="00CC325D" w:rsidRPr="00083E6F" w:rsidRDefault="00CC325D" w:rsidP="007C64B4">
      <w:pPr>
        <w:pStyle w:val="Notedebasdepage"/>
        <w:jc w:val="both"/>
      </w:pPr>
      <w:r w:rsidRPr="00083E6F">
        <w:rPr>
          <w:rStyle w:val="Appelnotedebasdep"/>
        </w:rPr>
        <w:footnoteRef/>
      </w:r>
      <w:r w:rsidRPr="00083E6F">
        <w:t xml:space="preserve"> Netherlands: </w:t>
      </w:r>
      <w:r w:rsidRPr="00083E6F">
        <w:rPr>
          <w:color w:val="000000"/>
          <w:lang w:val="en-AU"/>
        </w:rPr>
        <w:t xml:space="preserve">However we implemented </w:t>
      </w:r>
      <w:r>
        <w:rPr>
          <w:color w:val="000000"/>
          <w:lang w:val="en-AU"/>
        </w:rPr>
        <w:t>A</w:t>
      </w:r>
      <w:r w:rsidRPr="00083E6F">
        <w:rPr>
          <w:color w:val="000000"/>
          <w:lang w:val="en-AU"/>
        </w:rPr>
        <w:t xml:space="preserve">rticle 13, section 3 of the Recast in </w:t>
      </w:r>
      <w:r>
        <w:rPr>
          <w:color w:val="000000"/>
          <w:lang w:val="en-AU"/>
        </w:rPr>
        <w:t xml:space="preserve">the </w:t>
      </w:r>
      <w:r w:rsidRPr="00083E6F">
        <w:rPr>
          <w:color w:val="000000"/>
          <w:lang w:val="en-AU"/>
        </w:rPr>
        <w:t>correct way</w:t>
      </w:r>
    </w:p>
  </w:footnote>
  <w:footnote w:id="5">
    <w:p w:rsidR="00CC325D" w:rsidRPr="002820C9" w:rsidRDefault="00CC325D" w:rsidP="007C64B4">
      <w:pPr>
        <w:pStyle w:val="Notedebasdepage"/>
        <w:jc w:val="both"/>
      </w:pPr>
      <w:r>
        <w:rPr>
          <w:rStyle w:val="Appelnotedebasdep"/>
        </w:rPr>
        <w:footnoteRef/>
      </w:r>
      <w:r>
        <w:t xml:space="preserve"> Portugal: There is a regulation on charges, issued by the former regulatory body that requires regulatory accounts. (Reg. IMTT 630/2011). This regulation is no longer in force however the infrastructure manager still produces the accounts. This is being reviewed by the actual regulatory body.</w:t>
      </w:r>
    </w:p>
  </w:footnote>
  <w:footnote w:id="6">
    <w:p w:rsidR="00CC325D" w:rsidRPr="005008AB" w:rsidRDefault="00CC325D" w:rsidP="001878D7">
      <w:pPr>
        <w:pStyle w:val="Notedebasdepage"/>
      </w:pPr>
      <w:r>
        <w:rPr>
          <w:rStyle w:val="Appelnotedebasdep"/>
        </w:rPr>
        <w:footnoteRef/>
      </w:r>
      <w:r>
        <w:t xml:space="preserve"> </w:t>
      </w:r>
      <w:r w:rsidRPr="004B154D">
        <w:rPr>
          <w:lang w:val="en-GB"/>
        </w:rPr>
        <w:t>Significant market power is determined by</w:t>
      </w:r>
      <w:r>
        <w:rPr>
          <w:lang w:val="en-GB"/>
        </w:rPr>
        <w:t xml:space="preserve"> </w:t>
      </w:r>
      <w:r w:rsidRPr="00B92FA1">
        <w:rPr>
          <w:lang w:val="en-GB"/>
        </w:rPr>
        <w:t>a triple test</w:t>
      </w:r>
      <w:r>
        <w:rPr>
          <w:lang w:val="en-GB"/>
        </w:rPr>
        <w:t xml:space="preserve"> </w:t>
      </w:r>
      <w:r w:rsidRPr="00B92FA1">
        <w:rPr>
          <w:lang w:val="en-GB"/>
        </w:rPr>
        <w:t>(</w:t>
      </w:r>
      <w:r>
        <w:rPr>
          <w:lang w:val="en-GB"/>
        </w:rPr>
        <w:t>See</w:t>
      </w:r>
      <w:r w:rsidRPr="00B92FA1">
        <w:rPr>
          <w:lang w:val="en-GB"/>
        </w:rPr>
        <w:t xml:space="preserve"> Measure 37, </w:t>
      </w:r>
      <w:r>
        <w:rPr>
          <w:lang w:val="en-GB"/>
        </w:rPr>
        <w:t xml:space="preserve">ART </w:t>
      </w:r>
      <w:r w:rsidRPr="00B92FA1">
        <w:rPr>
          <w:lang w:val="en-GB"/>
        </w:rPr>
        <w:t>Dec</w:t>
      </w:r>
      <w:r>
        <w:rPr>
          <w:lang w:val="en-GB"/>
        </w:rPr>
        <w:t>ision n°</w:t>
      </w:r>
      <w:r w:rsidRPr="00B92FA1">
        <w:rPr>
          <w:lang w:val="en-GB"/>
        </w:rPr>
        <w:t xml:space="preserve"> 96/</w:t>
      </w:r>
      <w:r>
        <w:rPr>
          <w:lang w:val="en-GB"/>
        </w:rPr>
        <w:t>20</w:t>
      </w:r>
      <w:r w:rsidRPr="00B92FA1">
        <w:rPr>
          <w:lang w:val="en-GB"/>
        </w:rPr>
        <w:t>15)</w:t>
      </w:r>
      <w:r>
        <w:rPr>
          <w:lang w:val="en-GB"/>
        </w:rPr>
        <w:t>.</w:t>
      </w:r>
    </w:p>
  </w:footnote>
  <w:footnote w:id="7">
    <w:p w:rsidR="00CC325D" w:rsidRPr="00EA32E3" w:rsidRDefault="00CC325D" w:rsidP="007C64B4">
      <w:pPr>
        <w:pStyle w:val="Notedebasdepage"/>
      </w:pPr>
      <w:r>
        <w:rPr>
          <w:rStyle w:val="Appelnotedebasdep"/>
        </w:rPr>
        <w:footnoteRef/>
      </w:r>
      <w:r>
        <w:t xml:space="preserve"> France: Only for SNCF Réseau regarding obligations imposed on the infrastructure manager.</w:t>
      </w:r>
    </w:p>
  </w:footnote>
  <w:footnote w:id="8">
    <w:p w:rsidR="00CC325D" w:rsidRPr="001878D7" w:rsidRDefault="00CC325D">
      <w:pPr>
        <w:pStyle w:val="Notedebasdepage"/>
      </w:pPr>
      <w:r>
        <w:rPr>
          <w:rStyle w:val="Appelnotedebasdep"/>
        </w:rPr>
        <w:footnoteRef/>
      </w:r>
      <w:r>
        <w:t xml:space="preserve"> </w:t>
      </w:r>
      <w:r w:rsidRPr="00B92FA1">
        <w:rPr>
          <w:lang w:val="en-GB"/>
        </w:rPr>
        <w:t>In Italy</w:t>
      </w:r>
      <w:r>
        <w:rPr>
          <w:lang w:val="en-GB"/>
        </w:rPr>
        <w:t>,</w:t>
      </w:r>
      <w:r w:rsidRPr="00B92FA1">
        <w:rPr>
          <w:lang w:val="en-GB"/>
        </w:rPr>
        <w:t xml:space="preserve"> it </w:t>
      </w:r>
      <w:r>
        <w:rPr>
          <w:lang w:val="en-GB"/>
        </w:rPr>
        <w:t>might depend</w:t>
      </w:r>
      <w:r w:rsidRPr="00B92FA1">
        <w:rPr>
          <w:lang w:val="en-GB"/>
        </w:rPr>
        <w:t xml:space="preserve"> if the operator of a service facilit</w:t>
      </w:r>
      <w:r>
        <w:rPr>
          <w:lang w:val="en-GB"/>
        </w:rPr>
        <w:t>y</w:t>
      </w:r>
      <w:r w:rsidRPr="00B92FA1">
        <w:rPr>
          <w:lang w:val="en-GB"/>
        </w:rPr>
        <w:t xml:space="preserve"> has significant market power.</w:t>
      </w:r>
    </w:p>
  </w:footnote>
  <w:footnote w:id="9">
    <w:p w:rsidR="00CC325D" w:rsidRPr="004816A1" w:rsidRDefault="00CC325D" w:rsidP="007C64B4">
      <w:pPr>
        <w:pStyle w:val="Notedebasdepage"/>
      </w:pPr>
      <w:r>
        <w:rPr>
          <w:rStyle w:val="Appelnotedebasdep"/>
        </w:rPr>
        <w:footnoteRef/>
      </w:r>
      <w:r>
        <w:t xml:space="preserve"> </w:t>
      </w:r>
      <w:r w:rsidRPr="004816A1">
        <w:t xml:space="preserve">In this case, charges of service facility operators are in force if and only if the regulatory body delivers a favorable opinion on the charges submitted by the </w:t>
      </w:r>
      <w:r>
        <w:t>service facility operator</w:t>
      </w:r>
      <w:r w:rsidRPr="004816A1">
        <w:t>.</w:t>
      </w:r>
    </w:p>
  </w:footnote>
  <w:footnote w:id="10">
    <w:p w:rsidR="0089280F" w:rsidRPr="0089794B" w:rsidRDefault="0089280F" w:rsidP="007C64B4">
      <w:pPr>
        <w:pStyle w:val="Notedebasdepage"/>
        <w:jc w:val="both"/>
      </w:pPr>
      <w:r>
        <w:rPr>
          <w:rStyle w:val="Appelnotedebasdep"/>
        </w:rPr>
        <w:footnoteRef/>
      </w:r>
      <w:r>
        <w:t xml:space="preserve"> Austria: </w:t>
      </w:r>
      <w:r w:rsidRPr="005263CA">
        <w:rPr>
          <w:color w:val="000000"/>
          <w:lang w:val="en-GB"/>
        </w:rPr>
        <w:t>R</w:t>
      </w:r>
      <w:r>
        <w:rPr>
          <w:color w:val="000000"/>
          <w:lang w:val="en-GB"/>
        </w:rPr>
        <w:t>B</w:t>
      </w:r>
      <w:r w:rsidRPr="005263CA">
        <w:rPr>
          <w:color w:val="000000"/>
          <w:lang w:val="en-GB"/>
        </w:rPr>
        <w:t xml:space="preserve"> has to assess and decide whether draft network statement would infringe the Railway Act. </w:t>
      </w:r>
      <w:r>
        <w:rPr>
          <w:color w:val="000000"/>
          <w:lang w:val="en-GB"/>
        </w:rPr>
        <w:t>Provisions, including charges,</w:t>
      </w:r>
      <w:r w:rsidRPr="005263CA">
        <w:rPr>
          <w:color w:val="000000"/>
          <w:lang w:val="en-GB"/>
        </w:rPr>
        <w:t xml:space="preserve"> for access to service facilities which are connected with the railway infrastructure </w:t>
      </w:r>
    </w:p>
  </w:footnote>
  <w:footnote w:id="11">
    <w:p w:rsidR="0089280F" w:rsidRPr="006051F7" w:rsidRDefault="0089280F" w:rsidP="007C64B4">
      <w:pPr>
        <w:pStyle w:val="Notedebasdepage"/>
      </w:pPr>
      <w:r>
        <w:rPr>
          <w:rStyle w:val="Appelnotedebasdep"/>
        </w:rPr>
        <w:footnoteRef/>
      </w:r>
      <w:r>
        <w:t xml:space="preserve"> Finland: </w:t>
      </w:r>
      <w:r w:rsidRPr="00042EBE">
        <w:t>Only in specific circumstances.</w:t>
      </w:r>
    </w:p>
  </w:footnote>
  <w:footnote w:id="12">
    <w:p w:rsidR="0089280F" w:rsidRPr="00AC3827" w:rsidRDefault="0089280F" w:rsidP="002D24CC">
      <w:pPr>
        <w:pStyle w:val="Notedebasdepage"/>
        <w:jc w:val="both"/>
        <w:rPr>
          <w:color w:val="000000"/>
          <w:lang w:val="en-GB"/>
        </w:rPr>
      </w:pPr>
      <w:r>
        <w:rPr>
          <w:rStyle w:val="Appelnotedebasdep"/>
        </w:rPr>
        <w:footnoteRef/>
      </w:r>
      <w:r>
        <w:t xml:space="preserve"> </w:t>
      </w:r>
      <w:r w:rsidRPr="00AC3827">
        <w:rPr>
          <w:color w:val="000000"/>
          <w:lang w:val="en-GB"/>
        </w:rPr>
        <w:t xml:space="preserve">Germany: The regulatory body can adopt ex-ante and ex-post measures: ex-ante measures are based on § 72 (5), § 73 (1-3) </w:t>
      </w:r>
      <w:proofErr w:type="spellStart"/>
      <w:r w:rsidRPr="00AC3827">
        <w:rPr>
          <w:color w:val="000000"/>
          <w:lang w:val="en-GB"/>
        </w:rPr>
        <w:t>ERegG</w:t>
      </w:r>
      <w:proofErr w:type="spellEnd"/>
      <w:r w:rsidRPr="00AC3827">
        <w:rPr>
          <w:color w:val="000000"/>
          <w:lang w:val="en-GB"/>
        </w:rPr>
        <w:t xml:space="preserve">, ex-post measures on §66 (4), §68 (3) </w:t>
      </w:r>
      <w:proofErr w:type="spellStart"/>
      <w:r w:rsidRPr="00AC3827">
        <w:rPr>
          <w:color w:val="000000"/>
          <w:lang w:val="en-GB"/>
        </w:rPr>
        <w:t>ERegG</w:t>
      </w:r>
      <w:proofErr w:type="spellEnd"/>
      <w:r w:rsidRPr="00AC3827">
        <w:rPr>
          <w:color w:val="000000"/>
          <w:lang w:val="en-GB"/>
        </w:rPr>
        <w:t xml:space="preserve">; §68(3) and § 67 (1) </w:t>
      </w:r>
      <w:proofErr w:type="spellStart"/>
      <w:r w:rsidRPr="00AC3827">
        <w:rPr>
          <w:color w:val="000000"/>
          <w:lang w:val="en-GB"/>
        </w:rPr>
        <w:t>ERegG</w:t>
      </w:r>
      <w:proofErr w:type="spellEnd"/>
      <w:r w:rsidRPr="00AC3827">
        <w:rPr>
          <w:color w:val="000000"/>
          <w:lang w:val="en-GB"/>
        </w:rPr>
        <w:t xml:space="preserve"> refer to measures against railway undertakings or others subdued to the law that are necessary to resolve or to prevent any violation against national and EU law. </w:t>
      </w:r>
      <w:proofErr w:type="spellStart"/>
      <w:r w:rsidRPr="00AC3827">
        <w:rPr>
          <w:color w:val="000000"/>
          <w:lang w:val="en-GB"/>
        </w:rPr>
        <w:t>BNetzA</w:t>
      </w:r>
      <w:proofErr w:type="spellEnd"/>
      <w:r w:rsidRPr="00AC3827">
        <w:rPr>
          <w:color w:val="000000"/>
          <w:lang w:val="en-GB"/>
        </w:rPr>
        <w:t xml:space="preserve"> does not give non-binding ex-ante advices as a standard procedure, but all regulatory actions are taken by decisions, which can be based ex-ante or ex-post procedures, upon complaints or on the basis of ex officio investigations.</w:t>
      </w:r>
    </w:p>
  </w:footnote>
  <w:footnote w:id="13">
    <w:p w:rsidR="0089280F" w:rsidRPr="00F718C3" w:rsidRDefault="0089280F">
      <w:pPr>
        <w:pStyle w:val="Notedebasdepage"/>
        <w:rPr>
          <w:color w:val="000000"/>
          <w:szCs w:val="22"/>
          <w:lang w:val="en-GB"/>
        </w:rPr>
      </w:pPr>
      <w:r w:rsidRPr="00F718C3">
        <w:rPr>
          <w:rStyle w:val="Appelnotedebasdep"/>
        </w:rPr>
        <w:footnoteRef/>
      </w:r>
      <w:r w:rsidRPr="00F718C3">
        <w:rPr>
          <w:rStyle w:val="Appelnotedebasdep"/>
        </w:rPr>
        <w:t xml:space="preserve"> </w:t>
      </w:r>
      <w:r>
        <w:t xml:space="preserve">Italy: </w:t>
      </w:r>
      <w:r w:rsidRPr="00F718C3">
        <w:rPr>
          <w:color w:val="000000"/>
          <w:szCs w:val="22"/>
          <w:lang w:val="en-GB"/>
        </w:rPr>
        <w:t>With reference only to the services provided by the IM.</w:t>
      </w:r>
    </w:p>
  </w:footnote>
  <w:footnote w:id="14">
    <w:p w:rsidR="0089280F" w:rsidRPr="002169A4" w:rsidRDefault="0089280F" w:rsidP="001878D7">
      <w:pPr>
        <w:pStyle w:val="Notedebasdepage"/>
      </w:pPr>
      <w:r>
        <w:rPr>
          <w:rStyle w:val="Appelnotedebasdep"/>
        </w:rPr>
        <w:footnoteRef/>
      </w:r>
      <w:r>
        <w:t xml:space="preserve"> Italy: </w:t>
      </w:r>
      <w:r w:rsidRPr="002169A4">
        <w:rPr>
          <w:color w:val="000000"/>
          <w:szCs w:val="22"/>
          <w:lang w:val="en-GB"/>
        </w:rPr>
        <w:t xml:space="preserve">for SF operated by the </w:t>
      </w:r>
      <w:r>
        <w:rPr>
          <w:color w:val="000000"/>
          <w:szCs w:val="22"/>
          <w:lang w:val="en-GB"/>
        </w:rPr>
        <w:t>infrastructure manager.</w:t>
      </w:r>
    </w:p>
  </w:footnote>
  <w:footnote w:id="15">
    <w:p w:rsidR="0089280F" w:rsidRPr="00A6334D" w:rsidRDefault="0089280F" w:rsidP="002169A4">
      <w:pPr>
        <w:pStyle w:val="Notedebasdepage"/>
        <w:ind w:right="-144"/>
      </w:pPr>
      <w:r>
        <w:rPr>
          <w:rStyle w:val="Appelnotedebasdep"/>
        </w:rPr>
        <w:footnoteRef/>
      </w:r>
      <w:r>
        <w:t xml:space="preserve"> Norway: The Norwegian regulatory body</w:t>
      </w:r>
      <w:r w:rsidRPr="00A6334D">
        <w:t xml:space="preserve"> has the o</w:t>
      </w:r>
      <w:r>
        <w:t>ption to give non-binding ex-ante advice to give guidance on the interpretation of the regulations in question. This is a general duty that applies to all the activities of the regulatory body and it is done at the regulatory body’s discretion. The ex-ante guidance that the regulatory body gives does</w:t>
      </w:r>
      <w:r w:rsidRPr="003A072A">
        <w:t xml:space="preserve"> not in itself impose or establish any legal obligations</w:t>
      </w:r>
      <w:r>
        <w:t xml:space="preserve">. </w:t>
      </w:r>
    </w:p>
  </w:footnote>
  <w:footnote w:id="16">
    <w:p w:rsidR="0089280F" w:rsidRPr="0089280F" w:rsidRDefault="0089280F">
      <w:pPr>
        <w:pStyle w:val="Notedebasdepage"/>
      </w:pPr>
      <w:r>
        <w:rPr>
          <w:rStyle w:val="Appelnotedebasdep"/>
        </w:rPr>
        <w:footnoteRef/>
      </w:r>
      <w:r>
        <w:t xml:space="preserve"> Spain: only for</w:t>
      </w:r>
      <w:r w:rsidR="00092207">
        <w:t xml:space="preserve"> access to</w:t>
      </w:r>
      <w:r>
        <w:t xml:space="preserve"> service facilities owned by the IM and for those </w:t>
      </w:r>
      <w:proofErr w:type="spellStart"/>
      <w:r>
        <w:t>stablished</w:t>
      </w:r>
      <w:proofErr w:type="spellEnd"/>
      <w:r>
        <w:t xml:space="preserve"> in </w:t>
      </w:r>
      <w:r w:rsidR="00CC325D">
        <w:t>A</w:t>
      </w:r>
      <w:r>
        <w:t xml:space="preserve">rt. </w:t>
      </w:r>
      <w:proofErr w:type="gramStart"/>
      <w:r>
        <w:t>98 38/2015 Law.</w:t>
      </w:r>
      <w:proofErr w:type="gramEnd"/>
    </w:p>
  </w:footnote>
  <w:footnote w:id="17">
    <w:p w:rsidR="0089280F" w:rsidRPr="00083E6F" w:rsidRDefault="0089280F" w:rsidP="007C64B4">
      <w:pPr>
        <w:pStyle w:val="Notedebasdepage"/>
        <w:rPr>
          <w:color w:val="000000"/>
          <w:lang w:val="en-AU"/>
        </w:rPr>
      </w:pPr>
      <w:r w:rsidRPr="00083E6F">
        <w:rPr>
          <w:rStyle w:val="Appelnotedebasdep"/>
        </w:rPr>
        <w:footnoteRef/>
      </w:r>
      <w:r w:rsidRPr="00083E6F">
        <w:t xml:space="preserve"> Spain: </w:t>
      </w:r>
      <w:r w:rsidRPr="00083E6F">
        <w:rPr>
          <w:color w:val="000000"/>
          <w:lang w:val="en-AU"/>
        </w:rPr>
        <w:t>CNMC has to monitor the consultation process avoiding practices against regulatory framework</w:t>
      </w:r>
      <w:r>
        <w:rPr>
          <w:color w:val="000000"/>
          <w:lang w:val="en-AU"/>
        </w:rPr>
        <w:t xml:space="preserve"> for those charges </w:t>
      </w:r>
      <w:proofErr w:type="spellStart"/>
      <w:r>
        <w:rPr>
          <w:color w:val="000000"/>
          <w:lang w:val="en-AU"/>
        </w:rPr>
        <w:t>stablished</w:t>
      </w:r>
      <w:proofErr w:type="spellEnd"/>
      <w:r>
        <w:rPr>
          <w:color w:val="000000"/>
          <w:lang w:val="en-AU"/>
        </w:rPr>
        <w:t xml:space="preserve"> in art 98 38/2015 Law</w:t>
      </w:r>
      <w:r w:rsidRPr="00083E6F">
        <w:rPr>
          <w:color w:val="000000"/>
          <w:lang w:val="en-AU"/>
        </w:rPr>
        <w:t xml:space="preserve">. </w:t>
      </w:r>
    </w:p>
  </w:footnote>
  <w:footnote w:id="18">
    <w:p w:rsidR="0089280F" w:rsidRPr="00083E6F" w:rsidRDefault="0089280F" w:rsidP="007C64B4">
      <w:pPr>
        <w:pStyle w:val="Notedebasdepage"/>
      </w:pPr>
      <w:r w:rsidRPr="00083E6F">
        <w:rPr>
          <w:rStyle w:val="Appelnotedebasdep"/>
        </w:rPr>
        <w:footnoteRef/>
      </w:r>
      <w:r w:rsidRPr="00083E6F">
        <w:t xml:space="preserve"> Spain: Railway Act foresees a compulsory report before the approval of charges (art. 100 38/2015 Law).</w:t>
      </w:r>
    </w:p>
  </w:footnote>
  <w:footnote w:id="19">
    <w:p w:rsidR="0089280F" w:rsidRPr="003B4CD8" w:rsidRDefault="0089280F" w:rsidP="002169A4">
      <w:pPr>
        <w:pStyle w:val="Notedebasdepage"/>
        <w:ind w:right="-144"/>
      </w:pPr>
      <w:r>
        <w:rPr>
          <w:rStyle w:val="Appelnotedebasdep"/>
        </w:rPr>
        <w:footnoteRef/>
      </w:r>
      <w:r>
        <w:t xml:space="preserve"> Sweden: Only infrastructure managers that are also service facility operators, since they normally publish their charges for service facilities in their network statements. Other service facility operators do not consult on charges.</w:t>
      </w:r>
    </w:p>
  </w:footnote>
  <w:footnote w:id="20">
    <w:p w:rsidR="0089280F" w:rsidRPr="00083E6F" w:rsidRDefault="0089280F" w:rsidP="007C64B4">
      <w:pPr>
        <w:pStyle w:val="Notedebasdepage"/>
        <w:rPr>
          <w:lang w:val="en-AU"/>
        </w:rPr>
      </w:pPr>
      <w:r w:rsidRPr="00083E6F">
        <w:rPr>
          <w:rStyle w:val="Appelnotedebasdep"/>
        </w:rPr>
        <w:footnoteRef/>
      </w:r>
      <w:r w:rsidRPr="00083E6F">
        <w:t xml:space="preserve"> UK: </w:t>
      </w:r>
      <w:r w:rsidRPr="00083E6F">
        <w:rPr>
          <w:color w:val="000000"/>
          <w:lang w:val="en-AU"/>
        </w:rPr>
        <w:t>Binding advice for a subset of station and depot charges</w:t>
      </w:r>
    </w:p>
  </w:footnote>
  <w:footnote w:id="21">
    <w:p w:rsidR="0089280F" w:rsidRPr="00B95D5C" w:rsidRDefault="0089280F" w:rsidP="007C64B4">
      <w:pPr>
        <w:pStyle w:val="Notedebasdepage"/>
      </w:pPr>
      <w:r>
        <w:rPr>
          <w:rStyle w:val="Appelnotedebasdep"/>
        </w:rPr>
        <w:footnoteRef/>
      </w:r>
      <w:r>
        <w:t xml:space="preserve"> This is applicable only for the case of the service facilities managed by the infrastructure manager, not for those managed by other entities.</w:t>
      </w:r>
    </w:p>
  </w:footnote>
  <w:footnote w:id="22">
    <w:p w:rsidR="0089280F" w:rsidRPr="00CD2972" w:rsidRDefault="0089280F" w:rsidP="001A0E0C">
      <w:pPr>
        <w:pStyle w:val="Notedebasdepage"/>
      </w:pPr>
      <w:r>
        <w:rPr>
          <w:rStyle w:val="Appelnotedebasdep"/>
        </w:rPr>
        <w:footnoteRef/>
      </w:r>
      <w:r>
        <w:t xml:space="preserve"> </w:t>
      </w:r>
      <w:r>
        <w:rPr>
          <w:lang w:val="en-GB"/>
        </w:rPr>
        <w:t>The Italian regulatory body uses three</w:t>
      </w:r>
      <w:r w:rsidRPr="00B92FA1">
        <w:rPr>
          <w:lang w:val="en-GB"/>
        </w:rPr>
        <w:t xml:space="preserve"> </w:t>
      </w:r>
      <w:r>
        <w:rPr>
          <w:lang w:val="en-GB"/>
        </w:rPr>
        <w:t xml:space="preserve">cumulative </w:t>
      </w:r>
      <w:r w:rsidRPr="00B92FA1">
        <w:rPr>
          <w:lang w:val="en-GB"/>
        </w:rPr>
        <w:t xml:space="preserve">criteria to determine the relevant market power (significant market power, insufficient role for Antitrust authority and the benefits of regulation outweighs its </w:t>
      </w:r>
      <w:r>
        <w:rPr>
          <w:lang w:val="en-GB"/>
        </w:rPr>
        <w:t>costs</w:t>
      </w:r>
      <w:r w:rsidRPr="00B92FA1">
        <w:rPr>
          <w:lang w:val="en-GB"/>
        </w:rPr>
        <w:t>).</w:t>
      </w:r>
    </w:p>
  </w:footnote>
  <w:footnote w:id="23">
    <w:p w:rsidR="0089280F" w:rsidRPr="00216794" w:rsidRDefault="0089280F" w:rsidP="007C64B4">
      <w:pPr>
        <w:pStyle w:val="Notedebasdepage"/>
      </w:pPr>
      <w:r>
        <w:rPr>
          <w:rStyle w:val="Appelnotedebasdep"/>
        </w:rPr>
        <w:footnoteRef/>
      </w:r>
      <w:r>
        <w:t xml:space="preserve"> Decree relative to service facilities defines the reasonable profit as the cost of capital (cost of equity and cost of debt) related to the economic assets used to provide access to and services within service facilities.</w:t>
      </w:r>
    </w:p>
  </w:footnote>
  <w:footnote w:id="24">
    <w:p w:rsidR="0089280F" w:rsidRPr="003F3E2A" w:rsidRDefault="0089280F" w:rsidP="007C64B4">
      <w:pPr>
        <w:pStyle w:val="Notedebasdepage"/>
      </w:pPr>
      <w:r>
        <w:rPr>
          <w:rStyle w:val="Appelnotedebasdep"/>
        </w:rPr>
        <w:footnoteRef/>
      </w:r>
      <w:r>
        <w:t xml:space="preserve"> </w:t>
      </w:r>
      <w:r w:rsidRPr="00F6047A">
        <w:t xml:space="preserve">The regulation in Austria </w:t>
      </w:r>
      <w:r>
        <w:t>foresees</w:t>
      </w:r>
      <w:r w:rsidRPr="00F6047A">
        <w:t xml:space="preserve"> only the reasonable profit for equity</w:t>
      </w:r>
      <w:r>
        <w:t xml:space="preserve"> by law and it is the opinion of the regulatory body to use a WACC approach.</w:t>
      </w:r>
    </w:p>
  </w:footnote>
  <w:footnote w:id="25">
    <w:p w:rsidR="0089280F" w:rsidRPr="002B6AA7" w:rsidRDefault="0089280F" w:rsidP="00786114">
      <w:pPr>
        <w:pStyle w:val="Notedebasdepage"/>
      </w:pPr>
      <w:r w:rsidRPr="002B6AA7">
        <w:rPr>
          <w:rStyle w:val="Appelnotedebasdep"/>
        </w:rPr>
        <w:footnoteRef/>
      </w:r>
      <w:r w:rsidRPr="002B6AA7">
        <w:t xml:space="preserve"> Main operators are not controlled by the railway undertaking incumbent but by its holding company.</w:t>
      </w:r>
    </w:p>
  </w:footnote>
  <w:footnote w:id="26">
    <w:p w:rsidR="00EF1061" w:rsidRPr="00EF1061" w:rsidRDefault="00EF1061">
      <w:pPr>
        <w:pStyle w:val="Notedebasdepage"/>
      </w:pPr>
      <w:r>
        <w:rPr>
          <w:rStyle w:val="Appelnotedebasdep"/>
        </w:rPr>
        <w:footnoteRef/>
      </w:r>
      <w:r>
        <w:t xml:space="preserve"> There is an agreement between ADIF and RENFE that allows RENFE to manage the urban passenger stations owned by ADIF.</w:t>
      </w:r>
    </w:p>
  </w:footnote>
  <w:footnote w:id="27">
    <w:p w:rsidR="0089280F" w:rsidRPr="00225121" w:rsidRDefault="0089280F" w:rsidP="007C64B4">
      <w:pPr>
        <w:pStyle w:val="Notedebasdepage"/>
      </w:pPr>
      <w:r>
        <w:rPr>
          <w:rStyle w:val="Appelnotedebasdep"/>
        </w:rPr>
        <w:footnoteRef/>
      </w:r>
      <w:r>
        <w:t xml:space="preserve"> </w:t>
      </w:r>
      <w:r w:rsidRPr="00225121">
        <w:t>Austria:</w:t>
      </w:r>
      <w:r>
        <w:t xml:space="preserve"> </w:t>
      </w:r>
      <w:r w:rsidRPr="00225121">
        <w:t xml:space="preserve">The </w:t>
      </w:r>
      <w:r>
        <w:t xml:space="preserve">provisions of </w:t>
      </w:r>
      <w:r w:rsidRPr="00225121">
        <w:t xml:space="preserve">directive 2012/34 </w:t>
      </w:r>
      <w:r>
        <w:t xml:space="preserve">concerning passenger stations and platforms were </w:t>
      </w:r>
      <w:r w:rsidRPr="00225121">
        <w:t>transposed</w:t>
      </w:r>
      <w:r>
        <w:t xml:space="preserve"> </w:t>
      </w:r>
      <w:r w:rsidRPr="00225121">
        <w:t>in</w:t>
      </w:r>
      <w:r>
        <w:t xml:space="preserve"> the </w:t>
      </w:r>
      <w:r w:rsidRPr="00225121">
        <w:t>correct way and the</w:t>
      </w:r>
      <w:r>
        <w:t xml:space="preserve"> Railway Act without any adaptations. T</w:t>
      </w:r>
      <w:r w:rsidRPr="00225121">
        <w:t>he RB</w:t>
      </w:r>
      <w:r>
        <w:t xml:space="preserve"> considers</w:t>
      </w:r>
      <w:r w:rsidRPr="00225121">
        <w:t xml:space="preserve"> that platforms are part of the stations (service facility).</w:t>
      </w:r>
    </w:p>
  </w:footnote>
  <w:footnote w:id="28">
    <w:p w:rsidR="0089280F" w:rsidRPr="00EF0064" w:rsidRDefault="0089280F" w:rsidP="007C64B4">
      <w:pPr>
        <w:pStyle w:val="Notedebasdepage"/>
      </w:pPr>
      <w:r>
        <w:rPr>
          <w:rStyle w:val="Appelnotedebasdep"/>
        </w:rPr>
        <w:footnoteRef/>
      </w:r>
      <w:r>
        <w:t xml:space="preserve"> In France, only the </w:t>
      </w:r>
      <w:r w:rsidRPr="007411AC">
        <w:t xml:space="preserve">platforms </w:t>
      </w:r>
      <w:r>
        <w:t>are regulated as a service facility whereas the tracks are included in the minimum access package even if both belong to SNCF Réseau, the infrastructure manager.</w:t>
      </w:r>
    </w:p>
  </w:footnote>
  <w:footnote w:id="29">
    <w:p w:rsidR="0089280F" w:rsidRPr="00417C54" w:rsidRDefault="0089280F" w:rsidP="007C64B4">
      <w:pPr>
        <w:pStyle w:val="Notedebasdepage"/>
      </w:pPr>
      <w:r>
        <w:rPr>
          <w:rStyle w:val="Appelnotedebasdep"/>
        </w:rPr>
        <w:footnoteRef/>
      </w:r>
      <w:r>
        <w:t xml:space="preserve"> In Germany, the tracks belong to the infrastructure manager DB </w:t>
      </w:r>
      <w:proofErr w:type="spellStart"/>
      <w:r>
        <w:t>Netz</w:t>
      </w:r>
      <w:proofErr w:type="spellEnd"/>
      <w:r>
        <w:t xml:space="preserve"> AG and the platforms belong to DB Station &amp; Services AG.</w:t>
      </w:r>
    </w:p>
  </w:footnote>
  <w:footnote w:id="30">
    <w:p w:rsidR="0089280F" w:rsidRPr="00C00519" w:rsidRDefault="0089280F" w:rsidP="007C64B4">
      <w:pPr>
        <w:pStyle w:val="Notedebasdepage"/>
      </w:pPr>
      <w:r>
        <w:rPr>
          <w:rStyle w:val="Appelnotedebasdep"/>
        </w:rPr>
        <w:footnoteRef/>
      </w:r>
      <w:r>
        <w:t xml:space="preserve"> In France, these costs are computed net of received subsidies.</w:t>
      </w:r>
    </w:p>
  </w:footnote>
  <w:footnote w:id="31">
    <w:p w:rsidR="0089280F" w:rsidRPr="001A0E0C" w:rsidRDefault="0089280F">
      <w:pPr>
        <w:pStyle w:val="Notedebasdepage"/>
      </w:pPr>
      <w:r>
        <w:rPr>
          <w:rStyle w:val="Appelnotedebasdep"/>
        </w:rPr>
        <w:footnoteRef/>
      </w:r>
      <w:r>
        <w:t xml:space="preserve"> See Measure 41, ART Dec 96/2015.</w:t>
      </w:r>
    </w:p>
  </w:footnote>
  <w:footnote w:id="32">
    <w:p w:rsidR="0089280F" w:rsidRPr="008B4479" w:rsidRDefault="0089280F" w:rsidP="005942A1">
      <w:pPr>
        <w:pStyle w:val="Notedebasdepage"/>
      </w:pPr>
      <w:r>
        <w:rPr>
          <w:rStyle w:val="Appelnotedebasdep"/>
        </w:rPr>
        <w:footnoteRef/>
      </w:r>
      <w:r>
        <w:t xml:space="preserve"> </w:t>
      </w:r>
      <w:r w:rsidRPr="00C42AF8">
        <w:t>In Italy, for main passenger stations an efficiency target is foreseen equal to the inflation rate (see ART decision 84/2016).</w:t>
      </w:r>
    </w:p>
  </w:footnote>
  <w:footnote w:id="33">
    <w:p w:rsidR="0089280F" w:rsidRPr="00410E6E" w:rsidRDefault="0089280F" w:rsidP="007C64B4">
      <w:pPr>
        <w:pStyle w:val="Notedebasdepage"/>
        <w:jc w:val="both"/>
      </w:pPr>
      <w:r>
        <w:rPr>
          <w:rStyle w:val="Appelnotedebasdep"/>
        </w:rPr>
        <w:footnoteRef/>
      </w:r>
      <w:r>
        <w:t xml:space="preserve"> </w:t>
      </w:r>
      <w:r w:rsidRPr="0060487F">
        <w:t xml:space="preserve">The infrastructure manager Bane NOR </w:t>
      </w:r>
      <w:r>
        <w:t>SF (</w:t>
      </w:r>
      <w:proofErr w:type="spellStart"/>
      <w:r>
        <w:t>Statsforetak</w:t>
      </w:r>
      <w:proofErr w:type="spellEnd"/>
      <w:r>
        <w:t>)</w:t>
      </w:r>
      <w:r w:rsidRPr="0060487F">
        <w:t xml:space="preserve"> is responsible for the operation of all intermodal freight terminals in Norway (Bane NOR </w:t>
      </w:r>
      <w:r>
        <w:t>SF</w:t>
      </w:r>
      <w:r w:rsidRPr="0060487F">
        <w:t xml:space="preserve"> is also the owner). The infrastructure manager does however generally not provide services in the terminals itself. Instead, Bane NOR </w:t>
      </w:r>
      <w:r>
        <w:t>SF</w:t>
      </w:r>
      <w:r w:rsidRPr="0060487F">
        <w:t xml:space="preserve"> uses a framework for licensing operators of service facilities in the terminals. Each license is related to specific services. The number of operators at each terminal is therefore different, and for most cases, there are several operators at each terminal.</w:t>
      </w:r>
      <w:r>
        <w:t xml:space="preserve"> </w:t>
      </w:r>
    </w:p>
  </w:footnote>
  <w:footnote w:id="34">
    <w:p w:rsidR="0089280F" w:rsidRPr="00B95D5C" w:rsidRDefault="0089280F" w:rsidP="007C64B4">
      <w:pPr>
        <w:pStyle w:val="Notedebasdepage"/>
        <w:jc w:val="both"/>
      </w:pPr>
      <w:r>
        <w:rPr>
          <w:rStyle w:val="Appelnotedebasdep"/>
        </w:rPr>
        <w:footnoteRef/>
      </w:r>
      <w:r>
        <w:t xml:space="preserve"> In some of then, the incumbent railway undertaking participate in an important % (around 50% normally)</w:t>
      </w:r>
    </w:p>
  </w:footnote>
  <w:footnote w:id="35">
    <w:p w:rsidR="0089280F" w:rsidRPr="00855FAA" w:rsidRDefault="0089280F" w:rsidP="00786114">
      <w:pPr>
        <w:pStyle w:val="Notedebasdepage"/>
        <w:rPr>
          <w:color w:val="548DD4" w:themeColor="text2" w:themeTint="99"/>
        </w:rPr>
      </w:pPr>
      <w:r w:rsidRPr="00855FAA">
        <w:rPr>
          <w:rStyle w:val="Appelnotedebasdep"/>
          <w:color w:val="548DD4" w:themeColor="text2" w:themeTint="99"/>
        </w:rPr>
        <w:footnoteRef/>
      </w:r>
      <w:r w:rsidRPr="00855FAA">
        <w:rPr>
          <w:color w:val="548DD4" w:themeColor="text2" w:themeTint="99"/>
        </w:rPr>
        <w:t xml:space="preserve"> </w:t>
      </w:r>
      <w:r w:rsidRPr="002B6AA7">
        <w:t xml:space="preserve">In Italy there are 45 </w:t>
      </w:r>
      <w:proofErr w:type="spellStart"/>
      <w:r w:rsidRPr="002B6AA7">
        <w:t>marshalling</w:t>
      </w:r>
      <w:proofErr w:type="spellEnd"/>
      <w:r w:rsidRPr="002B6AA7">
        <w:t xml:space="preserve"> yards (RMMS data) but the yards with gravity hills are not active.</w:t>
      </w:r>
    </w:p>
  </w:footnote>
  <w:footnote w:id="36">
    <w:p w:rsidR="0089280F" w:rsidRPr="00270A8C" w:rsidRDefault="0089280F" w:rsidP="007C64B4">
      <w:pPr>
        <w:pStyle w:val="Notedebasdepage"/>
        <w:jc w:val="both"/>
      </w:pPr>
      <w:r>
        <w:rPr>
          <w:rStyle w:val="Appelnotedebasdep"/>
        </w:rPr>
        <w:footnoteRef/>
      </w:r>
      <w:r>
        <w:t xml:space="preserve"> </w:t>
      </w:r>
      <w:r w:rsidRPr="00307464">
        <w:t xml:space="preserve">Only one facility is owned by an alternative </w:t>
      </w:r>
      <w:r>
        <w:t>railway undertaking</w:t>
      </w:r>
      <w:r w:rsidRPr="00307464">
        <w:t xml:space="preserve"> in France</w:t>
      </w:r>
      <w:r>
        <w:t xml:space="preserve"> and is not regulated for the moment</w:t>
      </w:r>
      <w:r w:rsidRPr="00307464">
        <w:t>.</w:t>
      </w:r>
    </w:p>
  </w:footnote>
  <w:footnote w:id="37">
    <w:p w:rsidR="0089280F" w:rsidRPr="00854DDE" w:rsidRDefault="0089280F" w:rsidP="007C64B4">
      <w:pPr>
        <w:pStyle w:val="Notedebasdepage"/>
        <w:jc w:val="both"/>
      </w:pPr>
      <w:r>
        <w:rPr>
          <w:rStyle w:val="Appelnotedebasdep"/>
        </w:rPr>
        <w:footnoteRef/>
      </w:r>
      <w:r>
        <w:t>Most of the maintenance facilities for locomotives are participated by the incumbent railway undertaking.</w:t>
      </w:r>
    </w:p>
  </w:footnote>
  <w:footnote w:id="38">
    <w:p w:rsidR="0089280F" w:rsidRPr="00BE6724" w:rsidRDefault="0089280F" w:rsidP="007C64B4">
      <w:pPr>
        <w:pStyle w:val="Notedebasdepage"/>
        <w:jc w:val="both"/>
      </w:pPr>
      <w:r>
        <w:rPr>
          <w:rStyle w:val="Appelnotedebasdep"/>
        </w:rPr>
        <w:footnoteRef/>
      </w:r>
      <w:r>
        <w:t xml:space="preserve"> </w:t>
      </w:r>
      <w:r w:rsidRPr="00BE6724">
        <w:t xml:space="preserve">An inventory made by the </w:t>
      </w:r>
      <w:r>
        <w:t>infrastructure manager</w:t>
      </w:r>
      <w:r w:rsidRPr="00BE6724">
        <w:t xml:space="preserve"> in 2014, reports a total of 48 maintenance facilities. A majority of these, 36 workshops (in 20 different locations), were owned by Jernhusen (100% state owned real estate manager). The remaining workshops were owned by; private maintenance companies, public transport authorities, private real estate managers, </w:t>
      </w:r>
      <w:r>
        <w:t>infrastructure manager</w:t>
      </w:r>
      <w:r w:rsidRPr="00BE6724">
        <w:t xml:space="preserve">, </w:t>
      </w:r>
      <w:r>
        <w:t>railway undertaking</w:t>
      </w:r>
      <w:r w:rsidRPr="00BE6724">
        <w:t xml:space="preserve">, municipalities and one vehicle manufacturer. In 2014, 15 workshops were operated by </w:t>
      </w:r>
      <w:proofErr w:type="spellStart"/>
      <w:r w:rsidRPr="00BE6724">
        <w:t>Euromaint</w:t>
      </w:r>
      <w:proofErr w:type="spellEnd"/>
      <w:r w:rsidRPr="00BE6724">
        <w:t>. The remaining workshops we</w:t>
      </w:r>
      <w:r>
        <w:t>re operated by 10 different (not</w:t>
      </w:r>
      <w:r w:rsidRPr="00BE6724">
        <w:t xml:space="preserve"> </w:t>
      </w:r>
      <w:r>
        <w:t>railway undertaking</w:t>
      </w:r>
      <w:r w:rsidRPr="00BE6724">
        <w:t xml:space="preserve">) companies; Bombardier, </w:t>
      </w:r>
      <w:proofErr w:type="spellStart"/>
      <w:r w:rsidRPr="00BE6724">
        <w:t>Stadler</w:t>
      </w:r>
      <w:proofErr w:type="spellEnd"/>
      <w:r w:rsidRPr="00BE6724">
        <w:t xml:space="preserve"> Sweden AB, Alstom, BS </w:t>
      </w:r>
      <w:proofErr w:type="spellStart"/>
      <w:r w:rsidRPr="00BE6724">
        <w:t>Verkstäder</w:t>
      </w:r>
      <w:proofErr w:type="spellEnd"/>
      <w:r w:rsidRPr="00BE6724">
        <w:t xml:space="preserve"> AB, </w:t>
      </w:r>
      <w:proofErr w:type="spellStart"/>
      <w:r w:rsidRPr="00BE6724">
        <w:t>Swemaint</w:t>
      </w:r>
      <w:proofErr w:type="spellEnd"/>
      <w:r w:rsidRPr="00BE6724">
        <w:t xml:space="preserve"> AB, </w:t>
      </w:r>
      <w:proofErr w:type="spellStart"/>
      <w:r w:rsidRPr="00BE6724">
        <w:t>Mantena</w:t>
      </w:r>
      <w:proofErr w:type="spellEnd"/>
      <w:r w:rsidRPr="00BE6724">
        <w:t xml:space="preserve"> </w:t>
      </w:r>
      <w:r>
        <w:t xml:space="preserve">Services AB, IBAB, </w:t>
      </w:r>
      <w:proofErr w:type="spellStart"/>
      <w:r>
        <w:t>Midwaggon</w:t>
      </w:r>
      <w:proofErr w:type="spellEnd"/>
      <w:r>
        <w:t xml:space="preserve">, </w:t>
      </w:r>
      <w:proofErr w:type="spellStart"/>
      <w:r w:rsidRPr="00BE6724">
        <w:t>Motala</w:t>
      </w:r>
      <w:proofErr w:type="spellEnd"/>
      <w:r w:rsidRPr="00BE6724">
        <w:t xml:space="preserve"> Train and BS </w:t>
      </w:r>
      <w:proofErr w:type="spellStart"/>
      <w:r w:rsidRPr="00BE6724">
        <w:t>Mekaniska</w:t>
      </w:r>
      <w:proofErr w:type="spellEnd"/>
      <w:r w:rsidRPr="00BE6724">
        <w:t>.</w:t>
      </w:r>
    </w:p>
  </w:footnote>
  <w:footnote w:id="39">
    <w:p w:rsidR="0089280F" w:rsidRPr="00307464" w:rsidRDefault="0089280F" w:rsidP="007C64B4">
      <w:pPr>
        <w:pStyle w:val="Commentaire"/>
        <w:jc w:val="both"/>
      </w:pPr>
      <w:r>
        <w:rPr>
          <w:rStyle w:val="Appelnotedebasdep"/>
        </w:rPr>
        <w:footnoteRef/>
      </w:r>
      <w:r>
        <w:t xml:space="preserve"> The incumbent railway undertaking only operates one single maintenance facility in Sweden.</w:t>
      </w:r>
    </w:p>
  </w:footnote>
  <w:footnote w:id="40">
    <w:p w:rsidR="0089280F" w:rsidRPr="00F72718" w:rsidRDefault="0089280F" w:rsidP="007C64B4">
      <w:pPr>
        <w:pStyle w:val="Notedebasdepage"/>
        <w:jc w:val="both"/>
      </w:pPr>
      <w:r>
        <w:rPr>
          <w:rStyle w:val="Appelnotedebasdep"/>
        </w:rPr>
        <w:footnoteRef/>
      </w:r>
      <w:r>
        <w:t xml:space="preserve"> In UK these refer to light maintenance depots which also include refueling facilities</w:t>
      </w:r>
    </w:p>
  </w:footnote>
  <w:footnote w:id="41">
    <w:p w:rsidR="0089280F" w:rsidRPr="00186A93" w:rsidRDefault="0089280F" w:rsidP="007C64B4">
      <w:pPr>
        <w:pStyle w:val="Notedebasdepage"/>
        <w:jc w:val="both"/>
      </w:pPr>
      <w:r>
        <w:rPr>
          <w:rStyle w:val="Appelnotedebasdep"/>
        </w:rPr>
        <w:footnoteRef/>
      </w:r>
      <w:r>
        <w:t xml:space="preserve"> In France, few services are regulated in maintenance facilities. The decree 2012-70 listing the services that have to be supplied in those facilities mainly refers to the access to the installations and not the use of them.</w:t>
      </w:r>
    </w:p>
  </w:footnote>
  <w:footnote w:id="42">
    <w:p w:rsidR="0089280F" w:rsidRPr="00E576B5" w:rsidRDefault="0089280F" w:rsidP="007C64B4">
      <w:pPr>
        <w:pStyle w:val="Notedebasdepage"/>
        <w:jc w:val="both"/>
      </w:pPr>
      <w:r>
        <w:rPr>
          <w:rStyle w:val="Appelnotedebasdep"/>
        </w:rPr>
        <w:footnoteRef/>
      </w:r>
      <w:r>
        <w:t xml:space="preserve"> Most refueling facilities are owned by DB </w:t>
      </w:r>
      <w:proofErr w:type="spellStart"/>
      <w:r>
        <w:t>Energie</w:t>
      </w:r>
      <w:proofErr w:type="spellEnd"/>
      <w:r>
        <w:t xml:space="preserve"> GmbH and not by DB </w:t>
      </w:r>
      <w:proofErr w:type="spellStart"/>
      <w:r>
        <w:t>Netz</w:t>
      </w:r>
      <w:proofErr w:type="spellEnd"/>
      <w:r>
        <w:t xml:space="preserve"> AG.</w:t>
      </w:r>
    </w:p>
  </w:footnote>
  <w:footnote w:id="43">
    <w:p w:rsidR="0089280F" w:rsidRPr="00BE6724" w:rsidRDefault="0089280F" w:rsidP="007C64B4">
      <w:pPr>
        <w:pStyle w:val="Notedebasdepage"/>
        <w:jc w:val="both"/>
      </w:pPr>
      <w:r>
        <w:rPr>
          <w:rStyle w:val="Appelnotedebasdep"/>
        </w:rPr>
        <w:footnoteRef/>
      </w:r>
      <w:r>
        <w:t xml:space="preserve"> Netherlands: </w:t>
      </w:r>
      <w:r w:rsidRPr="00BE6724">
        <w:t>They daily management of a tank plate is in hands of the railway undertaking that use the tank plate the most in</w:t>
      </w:r>
      <w:r>
        <w:t xml:space="preserve"> a</w:t>
      </w:r>
      <w:r w:rsidRPr="00BE6724">
        <w:t xml:space="preserve"> specific geographical area. Hence the management depends on the award of regional public concessions. In one area NS has the daily management</w:t>
      </w:r>
      <w:r>
        <w:t>.</w:t>
      </w:r>
    </w:p>
  </w:footnote>
  <w:footnote w:id="44">
    <w:p w:rsidR="0089280F" w:rsidRPr="00A96026" w:rsidRDefault="0089280F" w:rsidP="007C64B4">
      <w:pPr>
        <w:pStyle w:val="Notedebasdepage"/>
        <w:jc w:val="both"/>
        <w:rPr>
          <w:lang w:val="en-GB"/>
        </w:rPr>
      </w:pPr>
      <w:r>
        <w:rPr>
          <w:rStyle w:val="Appelnotedebasdep"/>
        </w:rPr>
        <w:footnoteRef/>
      </w:r>
      <w:r>
        <w:t xml:space="preserve"> </w:t>
      </w:r>
      <w:r>
        <w:rPr>
          <w:lang w:val="en-GB"/>
        </w:rPr>
        <w:t>UK: Refuelling facilities are located in maintenance facilities</w:t>
      </w:r>
    </w:p>
  </w:footnote>
  <w:footnote w:id="45">
    <w:p w:rsidR="0089280F" w:rsidRPr="003D4157" w:rsidRDefault="0089280F" w:rsidP="007C64B4">
      <w:pPr>
        <w:pStyle w:val="Notedebasdepage"/>
        <w:jc w:val="both"/>
      </w:pPr>
      <w:r>
        <w:rPr>
          <w:rStyle w:val="Appelnotedebasdep"/>
        </w:rPr>
        <w:footnoteRef/>
      </w:r>
      <w:r>
        <w:t xml:space="preserve"> SNCF Combustible is, since 2017, a directorate within SNCF Mobilités.</w:t>
      </w:r>
    </w:p>
  </w:footnote>
  <w:footnote w:id="46">
    <w:p w:rsidR="0089280F" w:rsidRPr="00656510" w:rsidRDefault="0089280F" w:rsidP="007C64B4">
      <w:pPr>
        <w:pStyle w:val="Notedebasdepage"/>
        <w:rPr>
          <w:sz w:val="16"/>
        </w:rPr>
      </w:pPr>
      <w:r w:rsidRPr="00656510">
        <w:rPr>
          <w:rStyle w:val="Appelnotedebasdep"/>
          <w:sz w:val="16"/>
        </w:rPr>
        <w:footnoteRef/>
      </w:r>
      <w:r w:rsidRPr="00656510">
        <w:rPr>
          <w:sz w:val="16"/>
        </w:rPr>
        <w:t xml:space="preserve"> </w:t>
      </w:r>
      <w:proofErr w:type="gramStart"/>
      <w:r w:rsidRPr="00656510">
        <w:rPr>
          <w:sz w:val="16"/>
        </w:rPr>
        <w:t xml:space="preserve">ARAFER, decisions n° </w:t>
      </w:r>
      <w:r>
        <w:rPr>
          <w:sz w:val="16"/>
        </w:rPr>
        <w:t>2015-002, 2015-017, 2015-028,</w:t>
      </w:r>
      <w:r w:rsidRPr="00656510">
        <w:rPr>
          <w:sz w:val="16"/>
        </w:rPr>
        <w:t xml:space="preserve"> 2015-030</w:t>
      </w:r>
      <w:r>
        <w:rPr>
          <w:sz w:val="16"/>
        </w:rPr>
        <w:t>, 2017-008 and 2017-018.</w:t>
      </w:r>
      <w:proofErr w:type="gramEnd"/>
    </w:p>
  </w:footnote>
  <w:footnote w:id="47">
    <w:p w:rsidR="0089280F" w:rsidRPr="00BF2C89" w:rsidRDefault="0089280F" w:rsidP="007C64B4">
      <w:pPr>
        <w:pStyle w:val="Notedebasdepage"/>
        <w:rPr>
          <w:lang w:val="en-GB"/>
        </w:rPr>
      </w:pPr>
      <w:r>
        <w:rPr>
          <w:rStyle w:val="Appelnotedebasdep"/>
        </w:rPr>
        <w:footnoteRef/>
      </w:r>
      <w:r>
        <w:t xml:space="preserve"> </w:t>
      </w:r>
      <w:r w:rsidRPr="00BF2C89">
        <w:rPr>
          <w:lang w:val="en-GB"/>
        </w:rPr>
        <w:t xml:space="preserve">This is a joint ownership of the stations between </w:t>
      </w:r>
      <w:r>
        <w:rPr>
          <w:lang w:val="en-GB"/>
        </w:rPr>
        <w:t>infrastructure manager</w:t>
      </w:r>
      <w:r w:rsidRPr="00BF2C89">
        <w:rPr>
          <w:lang w:val="en-GB"/>
        </w:rPr>
        <w:t xml:space="preserve"> and Incumbent </w:t>
      </w:r>
      <w:r>
        <w:rPr>
          <w:lang w:val="en-GB"/>
        </w:rPr>
        <w:t>railway undertaking</w:t>
      </w:r>
      <w:r w:rsidRPr="00BF2C89">
        <w:rPr>
          <w:lang w:val="en-GB"/>
        </w:rPr>
        <w:t xml:space="preserve">. </w:t>
      </w:r>
      <w:r>
        <w:rPr>
          <w:lang w:val="en-GB"/>
        </w:rPr>
        <w:t>In total there are 410 stations.</w:t>
      </w:r>
    </w:p>
  </w:footnote>
  <w:footnote w:id="48">
    <w:p w:rsidR="0089280F" w:rsidRPr="00411B3E" w:rsidRDefault="0089280F" w:rsidP="007C64B4">
      <w:pPr>
        <w:pStyle w:val="Notedebasdepage"/>
      </w:pPr>
      <w:r>
        <w:rPr>
          <w:rStyle w:val="Appelnotedebasdep"/>
        </w:rPr>
        <w:footnoteRef/>
      </w:r>
      <w:r>
        <w:t xml:space="preserve"> </w:t>
      </w:r>
      <w:r w:rsidRPr="00411B3E">
        <w:t>Portugal did not participate in the market monitoring in 2016 and provided information for this paper only.</w:t>
      </w:r>
    </w:p>
  </w:footnote>
  <w:footnote w:id="49">
    <w:p w:rsidR="0089280F" w:rsidRPr="00B14995" w:rsidRDefault="0089280F" w:rsidP="007C64B4">
      <w:pPr>
        <w:pStyle w:val="Notedebasdepage"/>
      </w:pPr>
      <w:r>
        <w:rPr>
          <w:rStyle w:val="Appelnotedebasdep"/>
        </w:rPr>
        <w:footnoteRef/>
      </w:r>
      <w:r>
        <w:t xml:space="preserve"> In the number of the stations in Portugal also the halts are included.</w:t>
      </w:r>
    </w:p>
  </w:footnote>
  <w:footnote w:id="50">
    <w:p w:rsidR="0089280F" w:rsidRPr="00B14995" w:rsidRDefault="0089280F" w:rsidP="007C64B4">
      <w:pPr>
        <w:pStyle w:val="Notedebasdepage"/>
      </w:pPr>
      <w:r>
        <w:rPr>
          <w:rStyle w:val="Appelnotedebasdep"/>
        </w:rPr>
        <w:footnoteRef/>
      </w:r>
      <w:r>
        <w:t xml:space="preserve"> There are no </w:t>
      </w:r>
      <w:proofErr w:type="spellStart"/>
      <w:r>
        <w:t>marshalling</w:t>
      </w:r>
      <w:proofErr w:type="spellEnd"/>
      <w:r>
        <w:t xml:space="preserve"> yards with gravity hills in Portugal. But there are 10 other </w:t>
      </w:r>
      <w:proofErr w:type="spellStart"/>
      <w:r>
        <w:t>marshalling</w:t>
      </w:r>
      <w:proofErr w:type="spellEnd"/>
      <w:r>
        <w:t xml:space="preserve"> yards.</w:t>
      </w:r>
    </w:p>
  </w:footnote>
  <w:footnote w:id="51">
    <w:p w:rsidR="0089280F" w:rsidRPr="005263CA" w:rsidRDefault="0089280F" w:rsidP="007C64B4">
      <w:pPr>
        <w:pStyle w:val="Notedebasdepage"/>
      </w:pPr>
      <w:r w:rsidRPr="005263CA">
        <w:rPr>
          <w:rStyle w:val="Appelnotedebasdep"/>
        </w:rPr>
        <w:footnoteRef/>
      </w:r>
      <w:r w:rsidRPr="005263CA">
        <w:t xml:space="preserve"> The intermodal freight terminals at ports are not included.</w:t>
      </w:r>
    </w:p>
  </w:footnote>
  <w:footnote w:id="52">
    <w:p w:rsidR="0089280F" w:rsidRPr="005263CA" w:rsidRDefault="0089280F" w:rsidP="007C64B4">
      <w:pPr>
        <w:pStyle w:val="Notedebasdepage"/>
      </w:pPr>
      <w:r w:rsidRPr="005263CA">
        <w:rPr>
          <w:rStyle w:val="Appelnotedebasdep"/>
        </w:rPr>
        <w:footnoteRef/>
      </w:r>
      <w:r w:rsidRPr="005263CA">
        <w:t xml:space="preserve"> Owned and operated directly by the infrastructure manager.</w:t>
      </w:r>
    </w:p>
  </w:footnote>
  <w:footnote w:id="53">
    <w:p w:rsidR="0089280F" w:rsidRPr="005263CA" w:rsidRDefault="0089280F" w:rsidP="007C64B4">
      <w:pPr>
        <w:pStyle w:val="Notedebasdepage"/>
      </w:pPr>
      <w:r w:rsidRPr="005263CA">
        <w:rPr>
          <w:rStyle w:val="Appelnotedebasdep"/>
        </w:rPr>
        <w:footnoteRef/>
      </w:r>
      <w:r w:rsidRPr="005263CA">
        <w:t xml:space="preserve"> 6 are owned and operated by private companies and 14 are operated by private companies (some of them participated by the incumbent railway undertaking) but owned by the infrastructure manager.</w:t>
      </w:r>
    </w:p>
  </w:footnote>
  <w:footnote w:id="54">
    <w:p w:rsidR="0089280F" w:rsidRPr="005263CA" w:rsidRDefault="0089280F" w:rsidP="007C64B4">
      <w:pPr>
        <w:pStyle w:val="Notedebasdepage"/>
      </w:pPr>
      <w:r w:rsidRPr="005263CA">
        <w:rPr>
          <w:rStyle w:val="Appelnotedebasdep"/>
        </w:rPr>
        <w:footnoteRef/>
      </w:r>
      <w:r w:rsidRPr="005263CA">
        <w:t xml:space="preserve"> A lot of those maintenance facilities are participated by the incumbent railway undertaking, but they have own legal personality</w:t>
      </w:r>
    </w:p>
  </w:footnote>
  <w:footnote w:id="55">
    <w:p w:rsidR="0089280F" w:rsidRPr="005263CA" w:rsidRDefault="0089280F" w:rsidP="007C64B4">
      <w:pPr>
        <w:pStyle w:val="Notedebasdepage"/>
        <w:rPr>
          <w:lang w:val="en-GB"/>
        </w:rPr>
      </w:pPr>
      <w:r w:rsidRPr="005263CA">
        <w:rPr>
          <w:rStyle w:val="Appelnotedebasdep"/>
        </w:rPr>
        <w:footnoteRef/>
      </w:r>
      <w:r w:rsidRPr="005263CA">
        <w:t xml:space="preserve"> </w:t>
      </w:r>
      <w:r w:rsidRPr="005263CA">
        <w:rPr>
          <w:lang w:val="en-GB"/>
        </w:rPr>
        <w:t>This data relates to ownership. All stations are owned by our infrastructure manager. The 57 is Northern Ireland and HS1 stations.</w:t>
      </w:r>
    </w:p>
  </w:footnote>
  <w:footnote w:id="56">
    <w:p w:rsidR="0089280F" w:rsidRPr="005263CA" w:rsidRDefault="0089280F" w:rsidP="007C64B4">
      <w:pPr>
        <w:pStyle w:val="Notedebasdepage"/>
        <w:rPr>
          <w:lang w:val="en-GB"/>
        </w:rPr>
      </w:pPr>
      <w:r w:rsidRPr="005263CA">
        <w:rPr>
          <w:rStyle w:val="Appelnotedebasdep"/>
        </w:rPr>
        <w:footnoteRef/>
      </w:r>
      <w:r w:rsidRPr="005263CA">
        <w:t xml:space="preserve"> </w:t>
      </w:r>
      <w:r w:rsidRPr="005263CA">
        <w:rPr>
          <w:lang w:val="en-GB"/>
        </w:rPr>
        <w:t>UK does not have marshalling yards with gravity hills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0F" w:rsidRDefault="0089280F" w:rsidP="00951AA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28</w:t>
    </w:r>
    <w:r>
      <w:rPr>
        <w:rStyle w:val="Numrodepage"/>
      </w:rPr>
      <w:fldChar w:fldCharType="end"/>
    </w:r>
  </w:p>
  <w:p w:rsidR="0089280F" w:rsidRDefault="0089280F" w:rsidP="0084760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0F" w:rsidRDefault="0089280F" w:rsidP="00BE6744">
    <w:pPr>
      <w:pStyle w:val="En-tte"/>
      <w:tabs>
        <w:tab w:val="clear" w:pos="4536"/>
      </w:tabs>
      <w:jc w:val="right"/>
    </w:pPr>
    <w:r w:rsidRPr="37344BDB">
      <w:rPr>
        <w:rFonts w:ascii="Arial" w:hAnsi="Arial" w:cs="Arial"/>
        <w:b/>
        <w:bCs/>
        <w:sz w:val="20"/>
        <w:szCs w:val="20"/>
      </w:rPr>
      <w:t>IRG-Rail (17) xx</w:t>
    </w:r>
    <w:r>
      <w:tab/>
    </w:r>
    <w:r>
      <w:rPr>
        <w:noProof/>
        <w:lang w:val="en-GB" w:eastAsia="en-GB"/>
      </w:rPr>
      <w:drawing>
        <wp:inline distT="0" distB="0" distL="0" distR="0" wp14:anchorId="53AADF8C" wp14:editId="5D4EF046">
          <wp:extent cx="2247900" cy="75247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52475"/>
                  </a:xfrm>
                  <a:prstGeom prst="rect">
                    <a:avLst/>
                  </a:prstGeom>
                  <a:noFill/>
                  <a:ln>
                    <a:noFill/>
                  </a:ln>
                </pic:spPr>
              </pic:pic>
            </a:graphicData>
          </a:graphic>
        </wp:inline>
      </w:drawing>
    </w:r>
  </w:p>
  <w:p w:rsidR="0089280F" w:rsidRPr="00061900" w:rsidRDefault="0089280F" w:rsidP="00847609">
    <w:pPr>
      <w:pStyle w:val="En-tte"/>
      <w:ind w:right="360"/>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0F" w:rsidRDefault="0089280F">
    <w:pPr>
      <w:pStyle w:val="En-tte"/>
      <w:rPr>
        <w:rFonts w:ascii="Arial" w:hAnsi="Arial" w:cs="Arial"/>
        <w:b/>
        <w:sz w:val="20"/>
      </w:rPr>
    </w:pPr>
  </w:p>
  <w:p w:rsidR="0089280F" w:rsidRDefault="0089280F" w:rsidP="001F0AD9">
    <w:pPr>
      <w:pStyle w:val="En-tte"/>
      <w:tabs>
        <w:tab w:val="clear" w:pos="4536"/>
      </w:tabs>
    </w:pPr>
    <w:r w:rsidRPr="37344BDB">
      <w:rPr>
        <w:rFonts w:ascii="Arial" w:hAnsi="Arial" w:cs="Arial"/>
        <w:b/>
        <w:bCs/>
        <w:sz w:val="20"/>
        <w:szCs w:val="20"/>
      </w:rPr>
      <w:t xml:space="preserve">IRG-Rail (17) </w:t>
    </w:r>
    <w:r w:rsidR="00E9248A">
      <w:rPr>
        <w:rFonts w:ascii="Arial" w:hAnsi="Arial" w:cs="Arial"/>
        <w:b/>
        <w:bCs/>
        <w:sz w:val="20"/>
        <w:szCs w:val="20"/>
      </w:rPr>
      <w:t>6</w:t>
    </w:r>
    <w:r>
      <w:tab/>
    </w:r>
    <w:r>
      <w:rPr>
        <w:noProof/>
        <w:lang w:val="en-GB" w:eastAsia="en-GB"/>
      </w:rPr>
      <w:drawing>
        <wp:inline distT="0" distB="0" distL="0" distR="0" wp14:anchorId="38649548" wp14:editId="05BFBB8F">
          <wp:extent cx="2247900" cy="752475"/>
          <wp:effectExtent l="0" t="0" r="0"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52475"/>
                  </a:xfrm>
                  <a:prstGeom prst="rect">
                    <a:avLst/>
                  </a:prstGeom>
                  <a:noFill/>
                  <a:ln>
                    <a:noFill/>
                  </a:ln>
                </pic:spPr>
              </pic:pic>
            </a:graphicData>
          </a:graphic>
        </wp:inline>
      </w:drawing>
    </w:r>
  </w:p>
  <w:p w:rsidR="0089280F" w:rsidRDefault="0089280F">
    <w:pPr>
      <w:pStyle w:val="En-tte"/>
    </w:pPr>
  </w:p>
  <w:p w:rsidR="0089280F" w:rsidRDefault="008928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28BA5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4D5171F"/>
    <w:multiLevelType w:val="hybridMultilevel"/>
    <w:tmpl w:val="4F9433D0"/>
    <w:lvl w:ilvl="0" w:tplc="8EF6D4E8">
      <w:start w:val="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4EE5EA3"/>
    <w:multiLevelType w:val="hybridMultilevel"/>
    <w:tmpl w:val="A9E2ED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4406FC"/>
    <w:multiLevelType w:val="hybridMultilevel"/>
    <w:tmpl w:val="05DC2F0A"/>
    <w:lvl w:ilvl="0" w:tplc="A70612FA">
      <w:start w:val="1"/>
      <w:numFmt w:val="upperRoman"/>
      <w:lvlText w:val="%1."/>
      <w:lvlJc w:val="left"/>
      <w:pPr>
        <w:ind w:left="720" w:hanging="720"/>
      </w:pPr>
      <w:rPr>
        <w:rFonts w:hint="default"/>
      </w:rPr>
    </w:lvl>
    <w:lvl w:ilvl="1" w:tplc="44865422">
      <w:start w:val="1"/>
      <w:numFmt w:val="lowerLetter"/>
      <w:lvlText w:val="%2."/>
      <w:lvlJc w:val="left"/>
      <w:pPr>
        <w:ind w:left="1080" w:hanging="360"/>
      </w:pPr>
      <w:rPr>
        <w:b/>
        <w:i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9A10A1E"/>
    <w:multiLevelType w:val="hybridMultilevel"/>
    <w:tmpl w:val="E27A048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CFA179A">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D437E4"/>
    <w:multiLevelType w:val="hybridMultilevel"/>
    <w:tmpl w:val="EA5EBA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1D55AEA"/>
    <w:multiLevelType w:val="hybridMultilevel"/>
    <w:tmpl w:val="084C97D6"/>
    <w:lvl w:ilvl="0" w:tplc="040C000F">
      <w:start w:val="1"/>
      <w:numFmt w:val="decimal"/>
      <w:lvlText w:val="%1."/>
      <w:lvlJc w:val="left"/>
      <w:pPr>
        <w:ind w:left="720" w:hanging="720"/>
      </w:pPr>
      <w:rPr>
        <w:rFonts w:hint="default"/>
      </w:rPr>
    </w:lvl>
    <w:lvl w:ilvl="1" w:tplc="44865422">
      <w:start w:val="1"/>
      <w:numFmt w:val="lowerLetter"/>
      <w:lvlText w:val="%2."/>
      <w:lvlJc w:val="left"/>
      <w:pPr>
        <w:ind w:left="1080" w:hanging="360"/>
      </w:pPr>
      <w:rPr>
        <w:b/>
        <w:i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44D14BC"/>
    <w:multiLevelType w:val="hybridMultilevel"/>
    <w:tmpl w:val="448031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4D61D31"/>
    <w:multiLevelType w:val="hybridMultilevel"/>
    <w:tmpl w:val="3398B2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CFA179A">
      <w:numFmt w:val="bullet"/>
      <w:lvlText w:val="-"/>
      <w:lvlJc w:val="left"/>
      <w:pPr>
        <w:ind w:left="2880" w:hanging="360"/>
      </w:pPr>
      <w:rPr>
        <w:rFonts w:ascii="Arial" w:eastAsia="Times New Roman" w:hAnsi="Arial"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484EF6"/>
    <w:multiLevelType w:val="hybridMultilevel"/>
    <w:tmpl w:val="DB5A8E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D296129"/>
    <w:multiLevelType w:val="hybridMultilevel"/>
    <w:tmpl w:val="4F90A30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nsid w:val="225E3190"/>
    <w:multiLevelType w:val="hybridMultilevel"/>
    <w:tmpl w:val="619C0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861FA5"/>
    <w:multiLevelType w:val="hybridMultilevel"/>
    <w:tmpl w:val="5C103AD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3956DB"/>
    <w:multiLevelType w:val="hybridMultilevel"/>
    <w:tmpl w:val="5C1CF93C"/>
    <w:lvl w:ilvl="0" w:tplc="8FBA7DEC">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42930"/>
    <w:multiLevelType w:val="hybridMultilevel"/>
    <w:tmpl w:val="A88EE592"/>
    <w:lvl w:ilvl="0" w:tplc="44865422">
      <w:start w:val="1"/>
      <w:numFmt w:val="lowerLetter"/>
      <w:lvlText w:val="%1."/>
      <w:lvlJc w:val="left"/>
      <w:pPr>
        <w:ind w:left="720" w:hanging="360"/>
      </w:pPr>
      <w:rPr>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9084701"/>
    <w:multiLevelType w:val="hybridMultilevel"/>
    <w:tmpl w:val="E918FCD4"/>
    <w:lvl w:ilvl="0" w:tplc="DB944408">
      <w:start w:val="1"/>
      <w:numFmt w:val="decimal"/>
      <w:lvlText w:val="%1."/>
      <w:lvlJc w:val="left"/>
      <w:pPr>
        <w:ind w:left="644" w:hanging="360"/>
      </w:pPr>
      <w:rPr>
        <w:rFonts w:ascii="Arial"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551EA6"/>
    <w:multiLevelType w:val="hybridMultilevel"/>
    <w:tmpl w:val="5C103AD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FAC1072"/>
    <w:multiLevelType w:val="hybridMultilevel"/>
    <w:tmpl w:val="16FE53C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0E2190C"/>
    <w:multiLevelType w:val="hybridMultilevel"/>
    <w:tmpl w:val="26B68D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ADA7BCA"/>
    <w:multiLevelType w:val="hybridMultilevel"/>
    <w:tmpl w:val="811CA10E"/>
    <w:lvl w:ilvl="0" w:tplc="0809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AED626F"/>
    <w:multiLevelType w:val="hybridMultilevel"/>
    <w:tmpl w:val="FF38BC8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B31270"/>
    <w:multiLevelType w:val="hybridMultilevel"/>
    <w:tmpl w:val="727EED0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C80468E"/>
    <w:multiLevelType w:val="hybridMultilevel"/>
    <w:tmpl w:val="33BCFE06"/>
    <w:lvl w:ilvl="0" w:tplc="DB944408">
      <w:start w:val="1"/>
      <w:numFmt w:val="decimal"/>
      <w:lvlText w:val="%1."/>
      <w:lvlJc w:val="left"/>
      <w:pPr>
        <w:ind w:left="644" w:hanging="360"/>
      </w:pPr>
      <w:rPr>
        <w:rFonts w:ascii="Arial"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067B64"/>
    <w:multiLevelType w:val="hybridMultilevel"/>
    <w:tmpl w:val="E0BE69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0BC1C13"/>
    <w:multiLevelType w:val="hybridMultilevel"/>
    <w:tmpl w:val="6ED0A6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27B328F"/>
    <w:multiLevelType w:val="multilevel"/>
    <w:tmpl w:val="C4849818"/>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F676AF"/>
    <w:multiLevelType w:val="hybridMultilevel"/>
    <w:tmpl w:val="579C5C2E"/>
    <w:lvl w:ilvl="0" w:tplc="8FA084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A518CB"/>
    <w:multiLevelType w:val="hybridMultilevel"/>
    <w:tmpl w:val="CD1651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6E44D97"/>
    <w:multiLevelType w:val="hybridMultilevel"/>
    <w:tmpl w:val="16FE53C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7222F47"/>
    <w:multiLevelType w:val="hybridMultilevel"/>
    <w:tmpl w:val="5C103AD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93B2FF4"/>
    <w:multiLevelType w:val="hybridMultilevel"/>
    <w:tmpl w:val="AA8401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2177E9"/>
    <w:multiLevelType w:val="hybridMultilevel"/>
    <w:tmpl w:val="5C103AD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3260D07"/>
    <w:multiLevelType w:val="hybridMultilevel"/>
    <w:tmpl w:val="F000CF44"/>
    <w:lvl w:ilvl="0" w:tplc="040C0019">
      <w:start w:val="1"/>
      <w:numFmt w:val="lowerLetter"/>
      <w:lvlText w:val="%1."/>
      <w:lvlJc w:val="left"/>
      <w:pPr>
        <w:ind w:left="704" w:hanging="360"/>
      </w:pPr>
    </w:lvl>
    <w:lvl w:ilvl="1" w:tplc="0C070019" w:tentative="1">
      <w:start w:val="1"/>
      <w:numFmt w:val="lowerLetter"/>
      <w:lvlText w:val="%2."/>
      <w:lvlJc w:val="left"/>
      <w:pPr>
        <w:ind w:left="704" w:hanging="360"/>
      </w:pPr>
    </w:lvl>
    <w:lvl w:ilvl="2" w:tplc="0C07001B" w:tentative="1">
      <w:start w:val="1"/>
      <w:numFmt w:val="lowerRoman"/>
      <w:lvlText w:val="%3."/>
      <w:lvlJc w:val="right"/>
      <w:pPr>
        <w:ind w:left="1424" w:hanging="180"/>
      </w:pPr>
    </w:lvl>
    <w:lvl w:ilvl="3" w:tplc="0C07000F" w:tentative="1">
      <w:start w:val="1"/>
      <w:numFmt w:val="decimal"/>
      <w:lvlText w:val="%4."/>
      <w:lvlJc w:val="left"/>
      <w:pPr>
        <w:ind w:left="2144" w:hanging="360"/>
      </w:pPr>
    </w:lvl>
    <w:lvl w:ilvl="4" w:tplc="0C070019" w:tentative="1">
      <w:start w:val="1"/>
      <w:numFmt w:val="lowerLetter"/>
      <w:lvlText w:val="%5."/>
      <w:lvlJc w:val="left"/>
      <w:pPr>
        <w:ind w:left="2864" w:hanging="360"/>
      </w:pPr>
    </w:lvl>
    <w:lvl w:ilvl="5" w:tplc="0C07001B" w:tentative="1">
      <w:start w:val="1"/>
      <w:numFmt w:val="lowerRoman"/>
      <w:lvlText w:val="%6."/>
      <w:lvlJc w:val="right"/>
      <w:pPr>
        <w:ind w:left="3584" w:hanging="180"/>
      </w:pPr>
    </w:lvl>
    <w:lvl w:ilvl="6" w:tplc="0C07000F" w:tentative="1">
      <w:start w:val="1"/>
      <w:numFmt w:val="decimal"/>
      <w:lvlText w:val="%7."/>
      <w:lvlJc w:val="left"/>
      <w:pPr>
        <w:ind w:left="4304" w:hanging="360"/>
      </w:pPr>
    </w:lvl>
    <w:lvl w:ilvl="7" w:tplc="0C070019" w:tentative="1">
      <w:start w:val="1"/>
      <w:numFmt w:val="lowerLetter"/>
      <w:lvlText w:val="%8."/>
      <w:lvlJc w:val="left"/>
      <w:pPr>
        <w:ind w:left="5024" w:hanging="360"/>
      </w:pPr>
    </w:lvl>
    <w:lvl w:ilvl="8" w:tplc="0C07001B" w:tentative="1">
      <w:start w:val="1"/>
      <w:numFmt w:val="lowerRoman"/>
      <w:lvlText w:val="%9."/>
      <w:lvlJc w:val="right"/>
      <w:pPr>
        <w:ind w:left="5744" w:hanging="180"/>
      </w:pPr>
    </w:lvl>
  </w:abstractNum>
  <w:abstractNum w:abstractNumId="33">
    <w:nsid w:val="55061034"/>
    <w:multiLevelType w:val="hybridMultilevel"/>
    <w:tmpl w:val="17F680B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51E304A"/>
    <w:multiLevelType w:val="hybridMultilevel"/>
    <w:tmpl w:val="A88ED2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6C751C5"/>
    <w:multiLevelType w:val="hybridMultilevel"/>
    <w:tmpl w:val="513CF1AE"/>
    <w:lvl w:ilvl="0" w:tplc="37DC6D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6D780B"/>
    <w:multiLevelType w:val="hybridMultilevel"/>
    <w:tmpl w:val="3044ED64"/>
    <w:lvl w:ilvl="0" w:tplc="F92A76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5694A"/>
    <w:multiLevelType w:val="hybridMultilevel"/>
    <w:tmpl w:val="F544E5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9553864"/>
    <w:multiLevelType w:val="hybridMultilevel"/>
    <w:tmpl w:val="2AD8ED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C52011"/>
    <w:multiLevelType w:val="hybridMultilevel"/>
    <w:tmpl w:val="C30C5C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00959B2"/>
    <w:multiLevelType w:val="hybridMultilevel"/>
    <w:tmpl w:val="A7E6AF3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8B18D8"/>
    <w:multiLevelType w:val="hybridMultilevel"/>
    <w:tmpl w:val="BC72F37E"/>
    <w:lvl w:ilvl="0" w:tplc="E560425E">
      <w:start w:val="1"/>
      <w:numFmt w:val="lowerLetter"/>
      <w:lvlText w:val="%1."/>
      <w:lvlJc w:val="left"/>
      <w:pPr>
        <w:tabs>
          <w:tab w:val="num" w:pos="720"/>
        </w:tabs>
        <w:ind w:left="720" w:hanging="360"/>
      </w:pPr>
    </w:lvl>
    <w:lvl w:ilvl="1" w:tplc="666E10B8">
      <w:start w:val="1"/>
      <w:numFmt w:val="lowerLetter"/>
      <w:lvlText w:val="%2."/>
      <w:lvlJc w:val="left"/>
      <w:pPr>
        <w:tabs>
          <w:tab w:val="num" w:pos="1440"/>
        </w:tabs>
        <w:ind w:left="1440" w:hanging="360"/>
      </w:pPr>
    </w:lvl>
    <w:lvl w:ilvl="2" w:tplc="CCA0A46A" w:tentative="1">
      <w:start w:val="1"/>
      <w:numFmt w:val="lowerLetter"/>
      <w:lvlText w:val="%3."/>
      <w:lvlJc w:val="left"/>
      <w:pPr>
        <w:tabs>
          <w:tab w:val="num" w:pos="2160"/>
        </w:tabs>
        <w:ind w:left="2160" w:hanging="360"/>
      </w:pPr>
    </w:lvl>
    <w:lvl w:ilvl="3" w:tplc="065E8854" w:tentative="1">
      <w:start w:val="1"/>
      <w:numFmt w:val="lowerLetter"/>
      <w:lvlText w:val="%4."/>
      <w:lvlJc w:val="left"/>
      <w:pPr>
        <w:tabs>
          <w:tab w:val="num" w:pos="2880"/>
        </w:tabs>
        <w:ind w:left="2880" w:hanging="360"/>
      </w:pPr>
    </w:lvl>
    <w:lvl w:ilvl="4" w:tplc="87ECE198" w:tentative="1">
      <w:start w:val="1"/>
      <w:numFmt w:val="lowerLetter"/>
      <w:lvlText w:val="%5."/>
      <w:lvlJc w:val="left"/>
      <w:pPr>
        <w:tabs>
          <w:tab w:val="num" w:pos="3600"/>
        </w:tabs>
        <w:ind w:left="3600" w:hanging="360"/>
      </w:pPr>
    </w:lvl>
    <w:lvl w:ilvl="5" w:tplc="26B660D0" w:tentative="1">
      <w:start w:val="1"/>
      <w:numFmt w:val="lowerLetter"/>
      <w:lvlText w:val="%6."/>
      <w:lvlJc w:val="left"/>
      <w:pPr>
        <w:tabs>
          <w:tab w:val="num" w:pos="4320"/>
        </w:tabs>
        <w:ind w:left="4320" w:hanging="360"/>
      </w:pPr>
    </w:lvl>
    <w:lvl w:ilvl="6" w:tplc="8FF4F50E" w:tentative="1">
      <w:start w:val="1"/>
      <w:numFmt w:val="lowerLetter"/>
      <w:lvlText w:val="%7."/>
      <w:lvlJc w:val="left"/>
      <w:pPr>
        <w:tabs>
          <w:tab w:val="num" w:pos="5040"/>
        </w:tabs>
        <w:ind w:left="5040" w:hanging="360"/>
      </w:pPr>
    </w:lvl>
    <w:lvl w:ilvl="7" w:tplc="AC967B70" w:tentative="1">
      <w:start w:val="1"/>
      <w:numFmt w:val="lowerLetter"/>
      <w:lvlText w:val="%8."/>
      <w:lvlJc w:val="left"/>
      <w:pPr>
        <w:tabs>
          <w:tab w:val="num" w:pos="5760"/>
        </w:tabs>
        <w:ind w:left="5760" w:hanging="360"/>
      </w:pPr>
    </w:lvl>
    <w:lvl w:ilvl="8" w:tplc="16B45476" w:tentative="1">
      <w:start w:val="1"/>
      <w:numFmt w:val="lowerLetter"/>
      <w:lvlText w:val="%9."/>
      <w:lvlJc w:val="left"/>
      <w:pPr>
        <w:tabs>
          <w:tab w:val="num" w:pos="6480"/>
        </w:tabs>
        <w:ind w:left="6480" w:hanging="360"/>
      </w:pPr>
    </w:lvl>
  </w:abstractNum>
  <w:abstractNum w:abstractNumId="42">
    <w:nsid w:val="72DC2FD7"/>
    <w:multiLevelType w:val="hybridMultilevel"/>
    <w:tmpl w:val="1506DF1E"/>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3">
    <w:nsid w:val="7949487F"/>
    <w:multiLevelType w:val="hybridMultilevel"/>
    <w:tmpl w:val="F1D29F70"/>
    <w:lvl w:ilvl="0" w:tplc="3B8A7226">
      <w:start w:val="1"/>
      <w:numFmt w:val="bullet"/>
      <w:lvlText w:val="-"/>
      <w:lvlJc w:val="left"/>
      <w:pPr>
        <w:tabs>
          <w:tab w:val="num" w:pos="720"/>
        </w:tabs>
        <w:ind w:left="720" w:hanging="360"/>
      </w:pPr>
      <w:rPr>
        <w:rFonts w:ascii="Times New Roman" w:hAnsi="Times New Roman" w:hint="default"/>
      </w:rPr>
    </w:lvl>
    <w:lvl w:ilvl="1" w:tplc="8BEEA610" w:tentative="1">
      <w:start w:val="1"/>
      <w:numFmt w:val="bullet"/>
      <w:lvlText w:val="-"/>
      <w:lvlJc w:val="left"/>
      <w:pPr>
        <w:tabs>
          <w:tab w:val="num" w:pos="1440"/>
        </w:tabs>
        <w:ind w:left="1440" w:hanging="360"/>
      </w:pPr>
      <w:rPr>
        <w:rFonts w:ascii="Times New Roman" w:hAnsi="Times New Roman" w:hint="default"/>
      </w:rPr>
    </w:lvl>
    <w:lvl w:ilvl="2" w:tplc="61903A64" w:tentative="1">
      <w:start w:val="1"/>
      <w:numFmt w:val="bullet"/>
      <w:lvlText w:val="-"/>
      <w:lvlJc w:val="left"/>
      <w:pPr>
        <w:tabs>
          <w:tab w:val="num" w:pos="2160"/>
        </w:tabs>
        <w:ind w:left="2160" w:hanging="360"/>
      </w:pPr>
      <w:rPr>
        <w:rFonts w:ascii="Times New Roman" w:hAnsi="Times New Roman" w:hint="default"/>
      </w:rPr>
    </w:lvl>
    <w:lvl w:ilvl="3" w:tplc="98A472C2" w:tentative="1">
      <w:start w:val="1"/>
      <w:numFmt w:val="bullet"/>
      <w:lvlText w:val="-"/>
      <w:lvlJc w:val="left"/>
      <w:pPr>
        <w:tabs>
          <w:tab w:val="num" w:pos="2880"/>
        </w:tabs>
        <w:ind w:left="2880" w:hanging="360"/>
      </w:pPr>
      <w:rPr>
        <w:rFonts w:ascii="Times New Roman" w:hAnsi="Times New Roman" w:hint="default"/>
      </w:rPr>
    </w:lvl>
    <w:lvl w:ilvl="4" w:tplc="DDF6B8F6" w:tentative="1">
      <w:start w:val="1"/>
      <w:numFmt w:val="bullet"/>
      <w:lvlText w:val="-"/>
      <w:lvlJc w:val="left"/>
      <w:pPr>
        <w:tabs>
          <w:tab w:val="num" w:pos="3600"/>
        </w:tabs>
        <w:ind w:left="3600" w:hanging="360"/>
      </w:pPr>
      <w:rPr>
        <w:rFonts w:ascii="Times New Roman" w:hAnsi="Times New Roman" w:hint="default"/>
      </w:rPr>
    </w:lvl>
    <w:lvl w:ilvl="5" w:tplc="2B28F9B8" w:tentative="1">
      <w:start w:val="1"/>
      <w:numFmt w:val="bullet"/>
      <w:lvlText w:val="-"/>
      <w:lvlJc w:val="left"/>
      <w:pPr>
        <w:tabs>
          <w:tab w:val="num" w:pos="4320"/>
        </w:tabs>
        <w:ind w:left="4320" w:hanging="360"/>
      </w:pPr>
      <w:rPr>
        <w:rFonts w:ascii="Times New Roman" w:hAnsi="Times New Roman" w:hint="default"/>
      </w:rPr>
    </w:lvl>
    <w:lvl w:ilvl="6" w:tplc="D2F0D032" w:tentative="1">
      <w:start w:val="1"/>
      <w:numFmt w:val="bullet"/>
      <w:lvlText w:val="-"/>
      <w:lvlJc w:val="left"/>
      <w:pPr>
        <w:tabs>
          <w:tab w:val="num" w:pos="5040"/>
        </w:tabs>
        <w:ind w:left="5040" w:hanging="360"/>
      </w:pPr>
      <w:rPr>
        <w:rFonts w:ascii="Times New Roman" w:hAnsi="Times New Roman" w:hint="default"/>
      </w:rPr>
    </w:lvl>
    <w:lvl w:ilvl="7" w:tplc="B02879B6" w:tentative="1">
      <w:start w:val="1"/>
      <w:numFmt w:val="bullet"/>
      <w:lvlText w:val="-"/>
      <w:lvlJc w:val="left"/>
      <w:pPr>
        <w:tabs>
          <w:tab w:val="num" w:pos="5760"/>
        </w:tabs>
        <w:ind w:left="5760" w:hanging="360"/>
      </w:pPr>
      <w:rPr>
        <w:rFonts w:ascii="Times New Roman" w:hAnsi="Times New Roman" w:hint="default"/>
      </w:rPr>
    </w:lvl>
    <w:lvl w:ilvl="8" w:tplc="C3F643A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9E342B3"/>
    <w:multiLevelType w:val="hybridMultilevel"/>
    <w:tmpl w:val="FA925954"/>
    <w:lvl w:ilvl="0" w:tplc="664AB2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3A6D40"/>
    <w:multiLevelType w:val="hybridMultilevel"/>
    <w:tmpl w:val="202A4E56"/>
    <w:lvl w:ilvl="0" w:tplc="B5BC8DCA">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5"/>
  </w:num>
  <w:num w:numId="3">
    <w:abstractNumId w:val="22"/>
  </w:num>
  <w:num w:numId="4">
    <w:abstractNumId w:val="34"/>
  </w:num>
  <w:num w:numId="5">
    <w:abstractNumId w:val="4"/>
  </w:num>
  <w:num w:numId="6">
    <w:abstractNumId w:val="42"/>
  </w:num>
  <w:num w:numId="7">
    <w:abstractNumId w:val="15"/>
  </w:num>
  <w:num w:numId="8">
    <w:abstractNumId w:val="19"/>
  </w:num>
  <w:num w:numId="9">
    <w:abstractNumId w:val="3"/>
  </w:num>
  <w:num w:numId="10">
    <w:abstractNumId w:val="10"/>
  </w:num>
  <w:num w:numId="11">
    <w:abstractNumId w:val="39"/>
  </w:num>
  <w:num w:numId="12">
    <w:abstractNumId w:val="43"/>
  </w:num>
  <w:num w:numId="13">
    <w:abstractNumId w:val="20"/>
  </w:num>
  <w:num w:numId="14">
    <w:abstractNumId w:val="33"/>
  </w:num>
  <w:num w:numId="15">
    <w:abstractNumId w:val="28"/>
  </w:num>
  <w:num w:numId="16">
    <w:abstractNumId w:val="21"/>
  </w:num>
  <w:num w:numId="17">
    <w:abstractNumId w:val="17"/>
  </w:num>
  <w:num w:numId="18">
    <w:abstractNumId w:val="23"/>
  </w:num>
  <w:num w:numId="19">
    <w:abstractNumId w:val="37"/>
  </w:num>
  <w:num w:numId="20">
    <w:abstractNumId w:val="27"/>
  </w:num>
  <w:num w:numId="21">
    <w:abstractNumId w:val="40"/>
  </w:num>
  <w:num w:numId="22">
    <w:abstractNumId w:val="30"/>
  </w:num>
  <w:num w:numId="23">
    <w:abstractNumId w:val="2"/>
  </w:num>
  <w:num w:numId="24">
    <w:abstractNumId w:val="6"/>
  </w:num>
  <w:num w:numId="25">
    <w:abstractNumId w:val="11"/>
  </w:num>
  <w:num w:numId="26">
    <w:abstractNumId w:val="38"/>
  </w:num>
  <w:num w:numId="27">
    <w:abstractNumId w:val="8"/>
  </w:num>
  <w:num w:numId="28">
    <w:abstractNumId w:val="31"/>
  </w:num>
  <w:num w:numId="29">
    <w:abstractNumId w:val="1"/>
  </w:num>
  <w:num w:numId="30">
    <w:abstractNumId w:val="12"/>
  </w:num>
  <w:num w:numId="31">
    <w:abstractNumId w:val="16"/>
  </w:num>
  <w:num w:numId="32">
    <w:abstractNumId w:val="29"/>
  </w:num>
  <w:num w:numId="33">
    <w:abstractNumId w:val="41"/>
  </w:num>
  <w:num w:numId="34">
    <w:abstractNumId w:val="45"/>
  </w:num>
  <w:num w:numId="35">
    <w:abstractNumId w:val="14"/>
  </w:num>
  <w:num w:numId="36">
    <w:abstractNumId w:val="32"/>
  </w:num>
  <w:num w:numId="37">
    <w:abstractNumId w:val="24"/>
  </w:num>
  <w:num w:numId="38">
    <w:abstractNumId w:val="7"/>
  </w:num>
  <w:num w:numId="39">
    <w:abstractNumId w:val="9"/>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6"/>
  </w:num>
  <w:num w:numId="44">
    <w:abstractNumId w:val="1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6"/>
  </w:num>
  <w:num w:numId="4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DOCNUMBER" w:val="7430349"/>
  </w:docVars>
  <w:rsids>
    <w:rsidRoot w:val="00974D15"/>
    <w:rsid w:val="000009D2"/>
    <w:rsid w:val="00001EBB"/>
    <w:rsid w:val="0000211D"/>
    <w:rsid w:val="00002797"/>
    <w:rsid w:val="00004FC8"/>
    <w:rsid w:val="00005936"/>
    <w:rsid w:val="00006279"/>
    <w:rsid w:val="00007979"/>
    <w:rsid w:val="00007C6A"/>
    <w:rsid w:val="00010D42"/>
    <w:rsid w:val="0001262D"/>
    <w:rsid w:val="00012CCC"/>
    <w:rsid w:val="00013C91"/>
    <w:rsid w:val="00013EA6"/>
    <w:rsid w:val="000142B3"/>
    <w:rsid w:val="0001463E"/>
    <w:rsid w:val="000149D7"/>
    <w:rsid w:val="00014B56"/>
    <w:rsid w:val="00014F25"/>
    <w:rsid w:val="00016B9C"/>
    <w:rsid w:val="00016E77"/>
    <w:rsid w:val="000174D9"/>
    <w:rsid w:val="000177BD"/>
    <w:rsid w:val="00017F30"/>
    <w:rsid w:val="00020307"/>
    <w:rsid w:val="000230E4"/>
    <w:rsid w:val="000235AD"/>
    <w:rsid w:val="000244E4"/>
    <w:rsid w:val="0002582F"/>
    <w:rsid w:val="000258B8"/>
    <w:rsid w:val="000260B5"/>
    <w:rsid w:val="00026AF3"/>
    <w:rsid w:val="00026C7F"/>
    <w:rsid w:val="00027BDE"/>
    <w:rsid w:val="0003020C"/>
    <w:rsid w:val="00031A6E"/>
    <w:rsid w:val="00032BE7"/>
    <w:rsid w:val="0003324F"/>
    <w:rsid w:val="000338B8"/>
    <w:rsid w:val="00035108"/>
    <w:rsid w:val="00036186"/>
    <w:rsid w:val="00036CCD"/>
    <w:rsid w:val="000371BC"/>
    <w:rsid w:val="0004123F"/>
    <w:rsid w:val="0004146C"/>
    <w:rsid w:val="00041FB4"/>
    <w:rsid w:val="00042221"/>
    <w:rsid w:val="00042C42"/>
    <w:rsid w:val="00042E84"/>
    <w:rsid w:val="00042EBE"/>
    <w:rsid w:val="00043FB0"/>
    <w:rsid w:val="000440DA"/>
    <w:rsid w:val="000442B1"/>
    <w:rsid w:val="000458B2"/>
    <w:rsid w:val="000466C8"/>
    <w:rsid w:val="000475F9"/>
    <w:rsid w:val="00047D4D"/>
    <w:rsid w:val="00047FD9"/>
    <w:rsid w:val="000505F5"/>
    <w:rsid w:val="000506EB"/>
    <w:rsid w:val="000508CC"/>
    <w:rsid w:val="000512CB"/>
    <w:rsid w:val="000529BC"/>
    <w:rsid w:val="00052B6F"/>
    <w:rsid w:val="00052D48"/>
    <w:rsid w:val="00053002"/>
    <w:rsid w:val="000540D0"/>
    <w:rsid w:val="00055610"/>
    <w:rsid w:val="00055CD8"/>
    <w:rsid w:val="000601DC"/>
    <w:rsid w:val="00060538"/>
    <w:rsid w:val="00060916"/>
    <w:rsid w:val="0006175C"/>
    <w:rsid w:val="000618B5"/>
    <w:rsid w:val="00061900"/>
    <w:rsid w:val="00062407"/>
    <w:rsid w:val="00063153"/>
    <w:rsid w:val="0006397E"/>
    <w:rsid w:val="00063D0B"/>
    <w:rsid w:val="000640FD"/>
    <w:rsid w:val="00064263"/>
    <w:rsid w:val="00065005"/>
    <w:rsid w:val="0006590D"/>
    <w:rsid w:val="00066218"/>
    <w:rsid w:val="00066EE0"/>
    <w:rsid w:val="00067108"/>
    <w:rsid w:val="0006733E"/>
    <w:rsid w:val="0006761A"/>
    <w:rsid w:val="00070D7F"/>
    <w:rsid w:val="00071762"/>
    <w:rsid w:val="00071849"/>
    <w:rsid w:val="00071F10"/>
    <w:rsid w:val="00072135"/>
    <w:rsid w:val="000725E7"/>
    <w:rsid w:val="00072E2C"/>
    <w:rsid w:val="00073116"/>
    <w:rsid w:val="000736B1"/>
    <w:rsid w:val="00074740"/>
    <w:rsid w:val="000749EC"/>
    <w:rsid w:val="00075323"/>
    <w:rsid w:val="00076BB7"/>
    <w:rsid w:val="00077D42"/>
    <w:rsid w:val="00080001"/>
    <w:rsid w:val="00080716"/>
    <w:rsid w:val="00080AB0"/>
    <w:rsid w:val="00080B00"/>
    <w:rsid w:val="00081355"/>
    <w:rsid w:val="000828D6"/>
    <w:rsid w:val="00082924"/>
    <w:rsid w:val="00082B57"/>
    <w:rsid w:val="00083818"/>
    <w:rsid w:val="000838CE"/>
    <w:rsid w:val="00083E6F"/>
    <w:rsid w:val="00084A14"/>
    <w:rsid w:val="00085490"/>
    <w:rsid w:val="000863A5"/>
    <w:rsid w:val="000873B9"/>
    <w:rsid w:val="0008793C"/>
    <w:rsid w:val="00087FCC"/>
    <w:rsid w:val="0009012A"/>
    <w:rsid w:val="000901FE"/>
    <w:rsid w:val="000903CB"/>
    <w:rsid w:val="00090D83"/>
    <w:rsid w:val="00091751"/>
    <w:rsid w:val="00091B35"/>
    <w:rsid w:val="00091E68"/>
    <w:rsid w:val="00092207"/>
    <w:rsid w:val="00092EA3"/>
    <w:rsid w:val="000932E2"/>
    <w:rsid w:val="000946E1"/>
    <w:rsid w:val="00095492"/>
    <w:rsid w:val="00096362"/>
    <w:rsid w:val="00096731"/>
    <w:rsid w:val="000968CF"/>
    <w:rsid w:val="00096A00"/>
    <w:rsid w:val="00096C76"/>
    <w:rsid w:val="000A0026"/>
    <w:rsid w:val="000A0072"/>
    <w:rsid w:val="000A0F35"/>
    <w:rsid w:val="000A3648"/>
    <w:rsid w:val="000A387D"/>
    <w:rsid w:val="000A39CC"/>
    <w:rsid w:val="000A39E5"/>
    <w:rsid w:val="000A425B"/>
    <w:rsid w:val="000A45A3"/>
    <w:rsid w:val="000A4EE2"/>
    <w:rsid w:val="000A50D1"/>
    <w:rsid w:val="000A51EA"/>
    <w:rsid w:val="000A53D6"/>
    <w:rsid w:val="000A5860"/>
    <w:rsid w:val="000A6977"/>
    <w:rsid w:val="000A6AC1"/>
    <w:rsid w:val="000A75C7"/>
    <w:rsid w:val="000A7A74"/>
    <w:rsid w:val="000A7E31"/>
    <w:rsid w:val="000B05FE"/>
    <w:rsid w:val="000B077D"/>
    <w:rsid w:val="000B0ED5"/>
    <w:rsid w:val="000B1E2B"/>
    <w:rsid w:val="000B1F42"/>
    <w:rsid w:val="000B27B6"/>
    <w:rsid w:val="000B29D9"/>
    <w:rsid w:val="000B3423"/>
    <w:rsid w:val="000B38FF"/>
    <w:rsid w:val="000B4C06"/>
    <w:rsid w:val="000B5089"/>
    <w:rsid w:val="000B5875"/>
    <w:rsid w:val="000B5EA0"/>
    <w:rsid w:val="000B63BE"/>
    <w:rsid w:val="000B6F0F"/>
    <w:rsid w:val="000B7552"/>
    <w:rsid w:val="000B7AF3"/>
    <w:rsid w:val="000B7F5B"/>
    <w:rsid w:val="000C203B"/>
    <w:rsid w:val="000C270D"/>
    <w:rsid w:val="000C3522"/>
    <w:rsid w:val="000C4176"/>
    <w:rsid w:val="000C59AF"/>
    <w:rsid w:val="000C5C83"/>
    <w:rsid w:val="000C5FB9"/>
    <w:rsid w:val="000C65EC"/>
    <w:rsid w:val="000C6C76"/>
    <w:rsid w:val="000C6FB0"/>
    <w:rsid w:val="000C7B52"/>
    <w:rsid w:val="000C7BAA"/>
    <w:rsid w:val="000D01B4"/>
    <w:rsid w:val="000D0EC9"/>
    <w:rsid w:val="000D12B6"/>
    <w:rsid w:val="000D152E"/>
    <w:rsid w:val="000D21E6"/>
    <w:rsid w:val="000D2696"/>
    <w:rsid w:val="000D3A74"/>
    <w:rsid w:val="000D40EC"/>
    <w:rsid w:val="000D4780"/>
    <w:rsid w:val="000D4B62"/>
    <w:rsid w:val="000D526B"/>
    <w:rsid w:val="000D5B3C"/>
    <w:rsid w:val="000D62FE"/>
    <w:rsid w:val="000D6440"/>
    <w:rsid w:val="000D68E4"/>
    <w:rsid w:val="000D7AB2"/>
    <w:rsid w:val="000E0DE7"/>
    <w:rsid w:val="000E12D8"/>
    <w:rsid w:val="000E19CE"/>
    <w:rsid w:val="000E1A1D"/>
    <w:rsid w:val="000E338A"/>
    <w:rsid w:val="000E4DEA"/>
    <w:rsid w:val="000E5714"/>
    <w:rsid w:val="000E5738"/>
    <w:rsid w:val="000E5E95"/>
    <w:rsid w:val="000E6243"/>
    <w:rsid w:val="000E6E9E"/>
    <w:rsid w:val="000E704D"/>
    <w:rsid w:val="000E7070"/>
    <w:rsid w:val="000E785F"/>
    <w:rsid w:val="000E7B15"/>
    <w:rsid w:val="000E7B69"/>
    <w:rsid w:val="000E7D59"/>
    <w:rsid w:val="000F0E07"/>
    <w:rsid w:val="000F1222"/>
    <w:rsid w:val="000F1821"/>
    <w:rsid w:val="000F2851"/>
    <w:rsid w:val="000F2D57"/>
    <w:rsid w:val="000F3C63"/>
    <w:rsid w:val="000F46AD"/>
    <w:rsid w:val="000F51D5"/>
    <w:rsid w:val="000F5A2E"/>
    <w:rsid w:val="000F5DF7"/>
    <w:rsid w:val="000F67B4"/>
    <w:rsid w:val="000F6A62"/>
    <w:rsid w:val="000F6BC7"/>
    <w:rsid w:val="000F6F83"/>
    <w:rsid w:val="000F7C75"/>
    <w:rsid w:val="000F7E23"/>
    <w:rsid w:val="001001A3"/>
    <w:rsid w:val="00100F2C"/>
    <w:rsid w:val="001015DF"/>
    <w:rsid w:val="00101FF5"/>
    <w:rsid w:val="00102124"/>
    <w:rsid w:val="001028C6"/>
    <w:rsid w:val="0010315C"/>
    <w:rsid w:val="00103361"/>
    <w:rsid w:val="00103EB8"/>
    <w:rsid w:val="0010444D"/>
    <w:rsid w:val="00104841"/>
    <w:rsid w:val="001050EA"/>
    <w:rsid w:val="00105CD6"/>
    <w:rsid w:val="00105EF1"/>
    <w:rsid w:val="001061A1"/>
    <w:rsid w:val="001063C7"/>
    <w:rsid w:val="00107274"/>
    <w:rsid w:val="0011149B"/>
    <w:rsid w:val="0011206B"/>
    <w:rsid w:val="00112D72"/>
    <w:rsid w:val="00113427"/>
    <w:rsid w:val="00113466"/>
    <w:rsid w:val="00113AE0"/>
    <w:rsid w:val="001149A4"/>
    <w:rsid w:val="0011653B"/>
    <w:rsid w:val="00117BD0"/>
    <w:rsid w:val="001209EA"/>
    <w:rsid w:val="00121862"/>
    <w:rsid w:val="00122680"/>
    <w:rsid w:val="00122889"/>
    <w:rsid w:val="00122D19"/>
    <w:rsid w:val="00123C99"/>
    <w:rsid w:val="0012420A"/>
    <w:rsid w:val="001244E8"/>
    <w:rsid w:val="00124B3E"/>
    <w:rsid w:val="001253D3"/>
    <w:rsid w:val="001254A8"/>
    <w:rsid w:val="001254D0"/>
    <w:rsid w:val="0012579C"/>
    <w:rsid w:val="001258D9"/>
    <w:rsid w:val="00125D7E"/>
    <w:rsid w:val="0012603B"/>
    <w:rsid w:val="00126FF6"/>
    <w:rsid w:val="00127DAE"/>
    <w:rsid w:val="0013166F"/>
    <w:rsid w:val="00131BFA"/>
    <w:rsid w:val="00132625"/>
    <w:rsid w:val="00132CDF"/>
    <w:rsid w:val="001335F4"/>
    <w:rsid w:val="00134089"/>
    <w:rsid w:val="00134887"/>
    <w:rsid w:val="00136C2B"/>
    <w:rsid w:val="001401E6"/>
    <w:rsid w:val="00140FF5"/>
    <w:rsid w:val="001413AF"/>
    <w:rsid w:val="001417F3"/>
    <w:rsid w:val="0014181F"/>
    <w:rsid w:val="00142160"/>
    <w:rsid w:val="00142575"/>
    <w:rsid w:val="00142CF1"/>
    <w:rsid w:val="00142D49"/>
    <w:rsid w:val="00142ECB"/>
    <w:rsid w:val="00143FF7"/>
    <w:rsid w:val="00144557"/>
    <w:rsid w:val="0014481E"/>
    <w:rsid w:val="00144A76"/>
    <w:rsid w:val="00145430"/>
    <w:rsid w:val="0014565E"/>
    <w:rsid w:val="00145AC6"/>
    <w:rsid w:val="00145CDD"/>
    <w:rsid w:val="00146206"/>
    <w:rsid w:val="00146C97"/>
    <w:rsid w:val="00147AC9"/>
    <w:rsid w:val="00151A52"/>
    <w:rsid w:val="001527EA"/>
    <w:rsid w:val="00152963"/>
    <w:rsid w:val="00152A16"/>
    <w:rsid w:val="00154EF9"/>
    <w:rsid w:val="001551C6"/>
    <w:rsid w:val="00155243"/>
    <w:rsid w:val="00155D9C"/>
    <w:rsid w:val="001560B3"/>
    <w:rsid w:val="001569FD"/>
    <w:rsid w:val="0015725D"/>
    <w:rsid w:val="0015781A"/>
    <w:rsid w:val="0015796D"/>
    <w:rsid w:val="00160060"/>
    <w:rsid w:val="00160342"/>
    <w:rsid w:val="001605F8"/>
    <w:rsid w:val="00160FD4"/>
    <w:rsid w:val="00161BDC"/>
    <w:rsid w:val="00161FFF"/>
    <w:rsid w:val="00162261"/>
    <w:rsid w:val="001625B0"/>
    <w:rsid w:val="001650B8"/>
    <w:rsid w:val="0016532F"/>
    <w:rsid w:val="001654F1"/>
    <w:rsid w:val="00165A38"/>
    <w:rsid w:val="00165C28"/>
    <w:rsid w:val="00165F26"/>
    <w:rsid w:val="001666E7"/>
    <w:rsid w:val="001673B6"/>
    <w:rsid w:val="00167D15"/>
    <w:rsid w:val="00170738"/>
    <w:rsid w:val="00170E70"/>
    <w:rsid w:val="00171069"/>
    <w:rsid w:val="0017139A"/>
    <w:rsid w:val="001713DC"/>
    <w:rsid w:val="00173252"/>
    <w:rsid w:val="00173AF8"/>
    <w:rsid w:val="001749F8"/>
    <w:rsid w:val="001756EF"/>
    <w:rsid w:val="001763C2"/>
    <w:rsid w:val="00176CCB"/>
    <w:rsid w:val="00180E3A"/>
    <w:rsid w:val="00182B3D"/>
    <w:rsid w:val="00183052"/>
    <w:rsid w:val="00183DF5"/>
    <w:rsid w:val="00183FE7"/>
    <w:rsid w:val="0018409E"/>
    <w:rsid w:val="00185818"/>
    <w:rsid w:val="00186A93"/>
    <w:rsid w:val="0018714F"/>
    <w:rsid w:val="001878D7"/>
    <w:rsid w:val="00187B02"/>
    <w:rsid w:val="00190E22"/>
    <w:rsid w:val="00192A98"/>
    <w:rsid w:val="00192E5B"/>
    <w:rsid w:val="001939CE"/>
    <w:rsid w:val="00193FD5"/>
    <w:rsid w:val="001943F1"/>
    <w:rsid w:val="001946B0"/>
    <w:rsid w:val="001947CA"/>
    <w:rsid w:val="00194927"/>
    <w:rsid w:val="00194CF1"/>
    <w:rsid w:val="00195B63"/>
    <w:rsid w:val="00195C00"/>
    <w:rsid w:val="00195EDE"/>
    <w:rsid w:val="00195F1D"/>
    <w:rsid w:val="00196000"/>
    <w:rsid w:val="00196407"/>
    <w:rsid w:val="001A071E"/>
    <w:rsid w:val="001A0878"/>
    <w:rsid w:val="001A0E0C"/>
    <w:rsid w:val="001A1BED"/>
    <w:rsid w:val="001A2327"/>
    <w:rsid w:val="001A2925"/>
    <w:rsid w:val="001A3328"/>
    <w:rsid w:val="001A3891"/>
    <w:rsid w:val="001A41B4"/>
    <w:rsid w:val="001A4B36"/>
    <w:rsid w:val="001A557E"/>
    <w:rsid w:val="001A57FF"/>
    <w:rsid w:val="001A6509"/>
    <w:rsid w:val="001A6607"/>
    <w:rsid w:val="001B0135"/>
    <w:rsid w:val="001B067B"/>
    <w:rsid w:val="001B0680"/>
    <w:rsid w:val="001B127D"/>
    <w:rsid w:val="001B259B"/>
    <w:rsid w:val="001B275F"/>
    <w:rsid w:val="001B29B2"/>
    <w:rsid w:val="001B2A0B"/>
    <w:rsid w:val="001B2AE9"/>
    <w:rsid w:val="001B355C"/>
    <w:rsid w:val="001B3E8B"/>
    <w:rsid w:val="001B57E3"/>
    <w:rsid w:val="001B5B7B"/>
    <w:rsid w:val="001B5DBB"/>
    <w:rsid w:val="001B61CD"/>
    <w:rsid w:val="001B6CA6"/>
    <w:rsid w:val="001B6CD5"/>
    <w:rsid w:val="001B777E"/>
    <w:rsid w:val="001B7CC6"/>
    <w:rsid w:val="001C0191"/>
    <w:rsid w:val="001C0B0E"/>
    <w:rsid w:val="001C0D37"/>
    <w:rsid w:val="001C29A7"/>
    <w:rsid w:val="001C2D22"/>
    <w:rsid w:val="001C2E5E"/>
    <w:rsid w:val="001C2EA5"/>
    <w:rsid w:val="001C366D"/>
    <w:rsid w:val="001C4938"/>
    <w:rsid w:val="001C68BB"/>
    <w:rsid w:val="001C6CB0"/>
    <w:rsid w:val="001C6E6B"/>
    <w:rsid w:val="001D0CD5"/>
    <w:rsid w:val="001D120C"/>
    <w:rsid w:val="001D1991"/>
    <w:rsid w:val="001D1A29"/>
    <w:rsid w:val="001D20F9"/>
    <w:rsid w:val="001D2255"/>
    <w:rsid w:val="001D3327"/>
    <w:rsid w:val="001D391A"/>
    <w:rsid w:val="001D5076"/>
    <w:rsid w:val="001D52E6"/>
    <w:rsid w:val="001D56C5"/>
    <w:rsid w:val="001D5C24"/>
    <w:rsid w:val="001D69F6"/>
    <w:rsid w:val="001D7F99"/>
    <w:rsid w:val="001D7FD4"/>
    <w:rsid w:val="001E028C"/>
    <w:rsid w:val="001E0689"/>
    <w:rsid w:val="001E0DBD"/>
    <w:rsid w:val="001E1AF3"/>
    <w:rsid w:val="001E2754"/>
    <w:rsid w:val="001E2CB8"/>
    <w:rsid w:val="001E2E0A"/>
    <w:rsid w:val="001E4C2A"/>
    <w:rsid w:val="001E4F86"/>
    <w:rsid w:val="001E56FB"/>
    <w:rsid w:val="001E5A06"/>
    <w:rsid w:val="001E5C25"/>
    <w:rsid w:val="001E5FEB"/>
    <w:rsid w:val="001E6862"/>
    <w:rsid w:val="001E6F19"/>
    <w:rsid w:val="001E7102"/>
    <w:rsid w:val="001F0AD9"/>
    <w:rsid w:val="001F0ADA"/>
    <w:rsid w:val="001F24C2"/>
    <w:rsid w:val="001F35B4"/>
    <w:rsid w:val="001F45D7"/>
    <w:rsid w:val="001F4649"/>
    <w:rsid w:val="001F4DE2"/>
    <w:rsid w:val="001F5B9D"/>
    <w:rsid w:val="001F72AD"/>
    <w:rsid w:val="0020029F"/>
    <w:rsid w:val="0020031C"/>
    <w:rsid w:val="00200426"/>
    <w:rsid w:val="00200993"/>
    <w:rsid w:val="00201211"/>
    <w:rsid w:val="002012D3"/>
    <w:rsid w:val="00203A5A"/>
    <w:rsid w:val="002044E3"/>
    <w:rsid w:val="00204CE5"/>
    <w:rsid w:val="00205B55"/>
    <w:rsid w:val="00205DC9"/>
    <w:rsid w:val="00206765"/>
    <w:rsid w:val="00207984"/>
    <w:rsid w:val="00210A08"/>
    <w:rsid w:val="00211179"/>
    <w:rsid w:val="00211320"/>
    <w:rsid w:val="00211483"/>
    <w:rsid w:val="002115BB"/>
    <w:rsid w:val="00212200"/>
    <w:rsid w:val="0021248B"/>
    <w:rsid w:val="00212B89"/>
    <w:rsid w:val="00214B45"/>
    <w:rsid w:val="00216794"/>
    <w:rsid w:val="002169A4"/>
    <w:rsid w:val="002172F7"/>
    <w:rsid w:val="00220829"/>
    <w:rsid w:val="0022111D"/>
    <w:rsid w:val="0022160C"/>
    <w:rsid w:val="00223CF0"/>
    <w:rsid w:val="00224B32"/>
    <w:rsid w:val="00225121"/>
    <w:rsid w:val="00225ADA"/>
    <w:rsid w:val="00225C2C"/>
    <w:rsid w:val="00226D79"/>
    <w:rsid w:val="0022719E"/>
    <w:rsid w:val="00227C13"/>
    <w:rsid w:val="00227F58"/>
    <w:rsid w:val="00230451"/>
    <w:rsid w:val="00231153"/>
    <w:rsid w:val="00232177"/>
    <w:rsid w:val="002322B9"/>
    <w:rsid w:val="002324E5"/>
    <w:rsid w:val="002339A5"/>
    <w:rsid w:val="002353BC"/>
    <w:rsid w:val="00235732"/>
    <w:rsid w:val="00236076"/>
    <w:rsid w:val="002362EC"/>
    <w:rsid w:val="00236613"/>
    <w:rsid w:val="00236B2A"/>
    <w:rsid w:val="00240CB2"/>
    <w:rsid w:val="002411AC"/>
    <w:rsid w:val="0024122D"/>
    <w:rsid w:val="002415C6"/>
    <w:rsid w:val="002429B2"/>
    <w:rsid w:val="00243054"/>
    <w:rsid w:val="00243221"/>
    <w:rsid w:val="00243E1D"/>
    <w:rsid w:val="00244463"/>
    <w:rsid w:val="00245852"/>
    <w:rsid w:val="002466DB"/>
    <w:rsid w:val="00247901"/>
    <w:rsid w:val="002500CA"/>
    <w:rsid w:val="002501F9"/>
    <w:rsid w:val="00250709"/>
    <w:rsid w:val="00250991"/>
    <w:rsid w:val="002519FA"/>
    <w:rsid w:val="002527E8"/>
    <w:rsid w:val="00252D3B"/>
    <w:rsid w:val="002539C0"/>
    <w:rsid w:val="00253D47"/>
    <w:rsid w:val="00254292"/>
    <w:rsid w:val="002548E9"/>
    <w:rsid w:val="00254E0D"/>
    <w:rsid w:val="00255106"/>
    <w:rsid w:val="00255630"/>
    <w:rsid w:val="002559B5"/>
    <w:rsid w:val="00256296"/>
    <w:rsid w:val="00256BF5"/>
    <w:rsid w:val="002570EB"/>
    <w:rsid w:val="002575FF"/>
    <w:rsid w:val="00257BED"/>
    <w:rsid w:val="00260FF5"/>
    <w:rsid w:val="002621FD"/>
    <w:rsid w:val="0026339A"/>
    <w:rsid w:val="00263F4E"/>
    <w:rsid w:val="0026427E"/>
    <w:rsid w:val="00264A05"/>
    <w:rsid w:val="00264C00"/>
    <w:rsid w:val="00264DB8"/>
    <w:rsid w:val="00265535"/>
    <w:rsid w:val="00265681"/>
    <w:rsid w:val="00265BF5"/>
    <w:rsid w:val="00265D4D"/>
    <w:rsid w:val="00266087"/>
    <w:rsid w:val="002666C7"/>
    <w:rsid w:val="00266789"/>
    <w:rsid w:val="002667EE"/>
    <w:rsid w:val="002668C2"/>
    <w:rsid w:val="00267E35"/>
    <w:rsid w:val="0027024B"/>
    <w:rsid w:val="00270A8C"/>
    <w:rsid w:val="00270BFB"/>
    <w:rsid w:val="00270CA6"/>
    <w:rsid w:val="00270DDD"/>
    <w:rsid w:val="002710FB"/>
    <w:rsid w:val="0027185A"/>
    <w:rsid w:val="00271CEB"/>
    <w:rsid w:val="00272646"/>
    <w:rsid w:val="00272EFB"/>
    <w:rsid w:val="00273A48"/>
    <w:rsid w:val="002746A5"/>
    <w:rsid w:val="00275652"/>
    <w:rsid w:val="0027594F"/>
    <w:rsid w:val="00275ED4"/>
    <w:rsid w:val="002765E9"/>
    <w:rsid w:val="002769E3"/>
    <w:rsid w:val="00276D94"/>
    <w:rsid w:val="00277C80"/>
    <w:rsid w:val="002804B9"/>
    <w:rsid w:val="00281DE5"/>
    <w:rsid w:val="00281F03"/>
    <w:rsid w:val="002820C9"/>
    <w:rsid w:val="00282239"/>
    <w:rsid w:val="00282478"/>
    <w:rsid w:val="00282A04"/>
    <w:rsid w:val="002833E9"/>
    <w:rsid w:val="00283A89"/>
    <w:rsid w:val="00283AE6"/>
    <w:rsid w:val="002846A0"/>
    <w:rsid w:val="00284F0E"/>
    <w:rsid w:val="002856B1"/>
    <w:rsid w:val="00285897"/>
    <w:rsid w:val="00286778"/>
    <w:rsid w:val="002871DC"/>
    <w:rsid w:val="002901BF"/>
    <w:rsid w:val="002914D5"/>
    <w:rsid w:val="00291D6D"/>
    <w:rsid w:val="00292391"/>
    <w:rsid w:val="00294644"/>
    <w:rsid w:val="0029476B"/>
    <w:rsid w:val="00294B4E"/>
    <w:rsid w:val="00294D75"/>
    <w:rsid w:val="00295126"/>
    <w:rsid w:val="002952FE"/>
    <w:rsid w:val="00295EA7"/>
    <w:rsid w:val="002961FB"/>
    <w:rsid w:val="00296205"/>
    <w:rsid w:val="00296548"/>
    <w:rsid w:val="002968E9"/>
    <w:rsid w:val="00296A63"/>
    <w:rsid w:val="00296F89"/>
    <w:rsid w:val="00297BB6"/>
    <w:rsid w:val="002A06A0"/>
    <w:rsid w:val="002A0818"/>
    <w:rsid w:val="002A254A"/>
    <w:rsid w:val="002A25CD"/>
    <w:rsid w:val="002A34E1"/>
    <w:rsid w:val="002A3855"/>
    <w:rsid w:val="002A3D25"/>
    <w:rsid w:val="002A4563"/>
    <w:rsid w:val="002A6468"/>
    <w:rsid w:val="002A7912"/>
    <w:rsid w:val="002A7B25"/>
    <w:rsid w:val="002A7B69"/>
    <w:rsid w:val="002A7C70"/>
    <w:rsid w:val="002B093C"/>
    <w:rsid w:val="002B0B3E"/>
    <w:rsid w:val="002B0C33"/>
    <w:rsid w:val="002B0F2A"/>
    <w:rsid w:val="002B0FF9"/>
    <w:rsid w:val="002B2CE1"/>
    <w:rsid w:val="002B2E2E"/>
    <w:rsid w:val="002B34A2"/>
    <w:rsid w:val="002B6AA7"/>
    <w:rsid w:val="002B75B0"/>
    <w:rsid w:val="002B7971"/>
    <w:rsid w:val="002B7E6A"/>
    <w:rsid w:val="002C0A02"/>
    <w:rsid w:val="002C0B7D"/>
    <w:rsid w:val="002C1A35"/>
    <w:rsid w:val="002C2304"/>
    <w:rsid w:val="002C2E6E"/>
    <w:rsid w:val="002C36B8"/>
    <w:rsid w:val="002C3F61"/>
    <w:rsid w:val="002C4F27"/>
    <w:rsid w:val="002C5615"/>
    <w:rsid w:val="002C63CB"/>
    <w:rsid w:val="002C71D5"/>
    <w:rsid w:val="002D03BB"/>
    <w:rsid w:val="002D0936"/>
    <w:rsid w:val="002D21A0"/>
    <w:rsid w:val="002D24CC"/>
    <w:rsid w:val="002D276B"/>
    <w:rsid w:val="002D318F"/>
    <w:rsid w:val="002D3ACC"/>
    <w:rsid w:val="002D41D3"/>
    <w:rsid w:val="002D571A"/>
    <w:rsid w:val="002D6114"/>
    <w:rsid w:val="002D66ED"/>
    <w:rsid w:val="002D70B2"/>
    <w:rsid w:val="002D7EE7"/>
    <w:rsid w:val="002E00B8"/>
    <w:rsid w:val="002E080E"/>
    <w:rsid w:val="002E1A45"/>
    <w:rsid w:val="002E245D"/>
    <w:rsid w:val="002E2A1D"/>
    <w:rsid w:val="002E2B8F"/>
    <w:rsid w:val="002E3ECA"/>
    <w:rsid w:val="002E40AA"/>
    <w:rsid w:val="002E4DC4"/>
    <w:rsid w:val="002E5C4A"/>
    <w:rsid w:val="002E629A"/>
    <w:rsid w:val="002E694C"/>
    <w:rsid w:val="002E7042"/>
    <w:rsid w:val="002E71E9"/>
    <w:rsid w:val="002F0845"/>
    <w:rsid w:val="002F138E"/>
    <w:rsid w:val="002F2033"/>
    <w:rsid w:val="002F2BC2"/>
    <w:rsid w:val="002F321C"/>
    <w:rsid w:val="002F3C29"/>
    <w:rsid w:val="002F3EBE"/>
    <w:rsid w:val="002F3F54"/>
    <w:rsid w:val="002F5BCE"/>
    <w:rsid w:val="002F5DAB"/>
    <w:rsid w:val="002F6C5A"/>
    <w:rsid w:val="002F6D11"/>
    <w:rsid w:val="002F6F49"/>
    <w:rsid w:val="002F7CBE"/>
    <w:rsid w:val="00300AB1"/>
    <w:rsid w:val="00300D90"/>
    <w:rsid w:val="00300FC2"/>
    <w:rsid w:val="00301105"/>
    <w:rsid w:val="0030177B"/>
    <w:rsid w:val="00302190"/>
    <w:rsid w:val="00302A07"/>
    <w:rsid w:val="00303C33"/>
    <w:rsid w:val="00307464"/>
    <w:rsid w:val="00310691"/>
    <w:rsid w:val="003108AC"/>
    <w:rsid w:val="00310A8C"/>
    <w:rsid w:val="00310CD2"/>
    <w:rsid w:val="003113CD"/>
    <w:rsid w:val="0031198B"/>
    <w:rsid w:val="00313D58"/>
    <w:rsid w:val="003156ED"/>
    <w:rsid w:val="00316176"/>
    <w:rsid w:val="0031684D"/>
    <w:rsid w:val="00316890"/>
    <w:rsid w:val="00316AD4"/>
    <w:rsid w:val="00316B63"/>
    <w:rsid w:val="00316DB6"/>
    <w:rsid w:val="00316E29"/>
    <w:rsid w:val="00320A35"/>
    <w:rsid w:val="00321269"/>
    <w:rsid w:val="00321392"/>
    <w:rsid w:val="00322C78"/>
    <w:rsid w:val="00322D10"/>
    <w:rsid w:val="00322FB6"/>
    <w:rsid w:val="00323780"/>
    <w:rsid w:val="00325334"/>
    <w:rsid w:val="00326389"/>
    <w:rsid w:val="00326866"/>
    <w:rsid w:val="00326A90"/>
    <w:rsid w:val="0032708A"/>
    <w:rsid w:val="00327ED2"/>
    <w:rsid w:val="00330958"/>
    <w:rsid w:val="00330AF2"/>
    <w:rsid w:val="00330B8D"/>
    <w:rsid w:val="0033134B"/>
    <w:rsid w:val="0033226B"/>
    <w:rsid w:val="003326BD"/>
    <w:rsid w:val="003329B7"/>
    <w:rsid w:val="00332B1E"/>
    <w:rsid w:val="00334137"/>
    <w:rsid w:val="0033456A"/>
    <w:rsid w:val="00334846"/>
    <w:rsid w:val="00334AA3"/>
    <w:rsid w:val="00334BA3"/>
    <w:rsid w:val="00335F35"/>
    <w:rsid w:val="003374A0"/>
    <w:rsid w:val="00340C78"/>
    <w:rsid w:val="00340D7B"/>
    <w:rsid w:val="003412BC"/>
    <w:rsid w:val="0034158F"/>
    <w:rsid w:val="00341D6F"/>
    <w:rsid w:val="003427D8"/>
    <w:rsid w:val="00343A97"/>
    <w:rsid w:val="0034427E"/>
    <w:rsid w:val="00344564"/>
    <w:rsid w:val="00344FD6"/>
    <w:rsid w:val="00345CC5"/>
    <w:rsid w:val="00347542"/>
    <w:rsid w:val="003504BE"/>
    <w:rsid w:val="00351976"/>
    <w:rsid w:val="0035273D"/>
    <w:rsid w:val="00352EDC"/>
    <w:rsid w:val="0035341C"/>
    <w:rsid w:val="0035795B"/>
    <w:rsid w:val="00357C31"/>
    <w:rsid w:val="00357C99"/>
    <w:rsid w:val="00360181"/>
    <w:rsid w:val="003621B2"/>
    <w:rsid w:val="00362265"/>
    <w:rsid w:val="0036308F"/>
    <w:rsid w:val="00364143"/>
    <w:rsid w:val="003646E5"/>
    <w:rsid w:val="00364999"/>
    <w:rsid w:val="00364F58"/>
    <w:rsid w:val="00366C25"/>
    <w:rsid w:val="00367394"/>
    <w:rsid w:val="00367FF4"/>
    <w:rsid w:val="00370D27"/>
    <w:rsid w:val="003719A4"/>
    <w:rsid w:val="00372549"/>
    <w:rsid w:val="00375E68"/>
    <w:rsid w:val="00375F23"/>
    <w:rsid w:val="00376133"/>
    <w:rsid w:val="00376571"/>
    <w:rsid w:val="00376B6A"/>
    <w:rsid w:val="003775AA"/>
    <w:rsid w:val="00381E59"/>
    <w:rsid w:val="0038292A"/>
    <w:rsid w:val="0038295D"/>
    <w:rsid w:val="00382B30"/>
    <w:rsid w:val="003836F0"/>
    <w:rsid w:val="00384E65"/>
    <w:rsid w:val="00385589"/>
    <w:rsid w:val="00385E29"/>
    <w:rsid w:val="003867CF"/>
    <w:rsid w:val="0038693F"/>
    <w:rsid w:val="00386A93"/>
    <w:rsid w:val="00386B14"/>
    <w:rsid w:val="00386E13"/>
    <w:rsid w:val="003874B4"/>
    <w:rsid w:val="003877AE"/>
    <w:rsid w:val="0038799D"/>
    <w:rsid w:val="00387CDF"/>
    <w:rsid w:val="0039044F"/>
    <w:rsid w:val="003910DB"/>
    <w:rsid w:val="00391138"/>
    <w:rsid w:val="003918D7"/>
    <w:rsid w:val="0039350D"/>
    <w:rsid w:val="003943FF"/>
    <w:rsid w:val="00394BB6"/>
    <w:rsid w:val="0039551E"/>
    <w:rsid w:val="00396042"/>
    <w:rsid w:val="003963F1"/>
    <w:rsid w:val="00397159"/>
    <w:rsid w:val="003971B7"/>
    <w:rsid w:val="003978DC"/>
    <w:rsid w:val="00397916"/>
    <w:rsid w:val="00397A4E"/>
    <w:rsid w:val="003A072A"/>
    <w:rsid w:val="003A1B34"/>
    <w:rsid w:val="003A1DF1"/>
    <w:rsid w:val="003A29AE"/>
    <w:rsid w:val="003A5113"/>
    <w:rsid w:val="003A593F"/>
    <w:rsid w:val="003A6848"/>
    <w:rsid w:val="003A6FAE"/>
    <w:rsid w:val="003A784A"/>
    <w:rsid w:val="003A7CD4"/>
    <w:rsid w:val="003A7D44"/>
    <w:rsid w:val="003B1193"/>
    <w:rsid w:val="003B193E"/>
    <w:rsid w:val="003B2525"/>
    <w:rsid w:val="003B3C8B"/>
    <w:rsid w:val="003B47CA"/>
    <w:rsid w:val="003B4CD8"/>
    <w:rsid w:val="003B4DA2"/>
    <w:rsid w:val="003B513D"/>
    <w:rsid w:val="003B5192"/>
    <w:rsid w:val="003B596F"/>
    <w:rsid w:val="003B5B9B"/>
    <w:rsid w:val="003B637E"/>
    <w:rsid w:val="003B6A17"/>
    <w:rsid w:val="003B7C1F"/>
    <w:rsid w:val="003C08D9"/>
    <w:rsid w:val="003C093E"/>
    <w:rsid w:val="003C0995"/>
    <w:rsid w:val="003C1CFC"/>
    <w:rsid w:val="003C2C45"/>
    <w:rsid w:val="003C3ADC"/>
    <w:rsid w:val="003C487D"/>
    <w:rsid w:val="003C4F72"/>
    <w:rsid w:val="003C6144"/>
    <w:rsid w:val="003C6D0C"/>
    <w:rsid w:val="003C6DD2"/>
    <w:rsid w:val="003D30E8"/>
    <w:rsid w:val="003D32A0"/>
    <w:rsid w:val="003D3850"/>
    <w:rsid w:val="003D3908"/>
    <w:rsid w:val="003D3B91"/>
    <w:rsid w:val="003D4157"/>
    <w:rsid w:val="003D4A28"/>
    <w:rsid w:val="003D5FBE"/>
    <w:rsid w:val="003D608B"/>
    <w:rsid w:val="003D62AE"/>
    <w:rsid w:val="003D69DC"/>
    <w:rsid w:val="003D6AA1"/>
    <w:rsid w:val="003D6B31"/>
    <w:rsid w:val="003D6E42"/>
    <w:rsid w:val="003D7DDA"/>
    <w:rsid w:val="003E0097"/>
    <w:rsid w:val="003E0706"/>
    <w:rsid w:val="003E1BBB"/>
    <w:rsid w:val="003E2B2F"/>
    <w:rsid w:val="003E43B9"/>
    <w:rsid w:val="003E4BC8"/>
    <w:rsid w:val="003E6098"/>
    <w:rsid w:val="003E7AFA"/>
    <w:rsid w:val="003E7F08"/>
    <w:rsid w:val="003F087A"/>
    <w:rsid w:val="003F160E"/>
    <w:rsid w:val="003F17F9"/>
    <w:rsid w:val="003F2489"/>
    <w:rsid w:val="003F2840"/>
    <w:rsid w:val="003F2902"/>
    <w:rsid w:val="003F310F"/>
    <w:rsid w:val="003F36B9"/>
    <w:rsid w:val="003F3E2A"/>
    <w:rsid w:val="003F4A61"/>
    <w:rsid w:val="003F5CAD"/>
    <w:rsid w:val="003F7110"/>
    <w:rsid w:val="003F7316"/>
    <w:rsid w:val="003F7831"/>
    <w:rsid w:val="003F79E1"/>
    <w:rsid w:val="00400044"/>
    <w:rsid w:val="00401024"/>
    <w:rsid w:val="00401FC7"/>
    <w:rsid w:val="004046B4"/>
    <w:rsid w:val="00404701"/>
    <w:rsid w:val="00406053"/>
    <w:rsid w:val="00407A9F"/>
    <w:rsid w:val="0041097A"/>
    <w:rsid w:val="00410E6E"/>
    <w:rsid w:val="00411B3E"/>
    <w:rsid w:val="00412BF6"/>
    <w:rsid w:val="0041420C"/>
    <w:rsid w:val="00414404"/>
    <w:rsid w:val="00414D6A"/>
    <w:rsid w:val="00415674"/>
    <w:rsid w:val="00415DB8"/>
    <w:rsid w:val="00415F47"/>
    <w:rsid w:val="0041632F"/>
    <w:rsid w:val="004166B5"/>
    <w:rsid w:val="00417B10"/>
    <w:rsid w:val="00417C54"/>
    <w:rsid w:val="00420256"/>
    <w:rsid w:val="00420418"/>
    <w:rsid w:val="00420EC2"/>
    <w:rsid w:val="00421728"/>
    <w:rsid w:val="00422059"/>
    <w:rsid w:val="00422EC9"/>
    <w:rsid w:val="004238BF"/>
    <w:rsid w:val="0042421B"/>
    <w:rsid w:val="0042432D"/>
    <w:rsid w:val="00424366"/>
    <w:rsid w:val="00424370"/>
    <w:rsid w:val="0042455D"/>
    <w:rsid w:val="004259CE"/>
    <w:rsid w:val="0042629A"/>
    <w:rsid w:val="0043006A"/>
    <w:rsid w:val="0043015B"/>
    <w:rsid w:val="004314D4"/>
    <w:rsid w:val="004315A6"/>
    <w:rsid w:val="00431BF6"/>
    <w:rsid w:val="00432F13"/>
    <w:rsid w:val="00433B5B"/>
    <w:rsid w:val="00433EB2"/>
    <w:rsid w:val="00434850"/>
    <w:rsid w:val="00434963"/>
    <w:rsid w:val="00434CBA"/>
    <w:rsid w:val="00435C3C"/>
    <w:rsid w:val="0043620F"/>
    <w:rsid w:val="0044004E"/>
    <w:rsid w:val="004407F7"/>
    <w:rsid w:val="004409CE"/>
    <w:rsid w:val="00440B9E"/>
    <w:rsid w:val="00441118"/>
    <w:rsid w:val="00441A28"/>
    <w:rsid w:val="00441FB2"/>
    <w:rsid w:val="004425BA"/>
    <w:rsid w:val="00442723"/>
    <w:rsid w:val="00442C72"/>
    <w:rsid w:val="00443595"/>
    <w:rsid w:val="00443F2A"/>
    <w:rsid w:val="004442D9"/>
    <w:rsid w:val="00444AB9"/>
    <w:rsid w:val="00445747"/>
    <w:rsid w:val="00445862"/>
    <w:rsid w:val="00445879"/>
    <w:rsid w:val="00447216"/>
    <w:rsid w:val="004517A2"/>
    <w:rsid w:val="004525A7"/>
    <w:rsid w:val="0045328E"/>
    <w:rsid w:val="00453691"/>
    <w:rsid w:val="0045381E"/>
    <w:rsid w:val="00454C38"/>
    <w:rsid w:val="00455613"/>
    <w:rsid w:val="004558B3"/>
    <w:rsid w:val="00455BF8"/>
    <w:rsid w:val="00456ACA"/>
    <w:rsid w:val="00456BAA"/>
    <w:rsid w:val="00456CB7"/>
    <w:rsid w:val="00456F26"/>
    <w:rsid w:val="00457FFD"/>
    <w:rsid w:val="004607F2"/>
    <w:rsid w:val="00460D93"/>
    <w:rsid w:val="00461895"/>
    <w:rsid w:val="00461D7C"/>
    <w:rsid w:val="00462D87"/>
    <w:rsid w:val="004635A4"/>
    <w:rsid w:val="00463A15"/>
    <w:rsid w:val="00463C19"/>
    <w:rsid w:val="0046443F"/>
    <w:rsid w:val="00464486"/>
    <w:rsid w:val="004645F2"/>
    <w:rsid w:val="00464ED0"/>
    <w:rsid w:val="004652C0"/>
    <w:rsid w:val="00465E72"/>
    <w:rsid w:val="00465FF4"/>
    <w:rsid w:val="00470158"/>
    <w:rsid w:val="00470BD7"/>
    <w:rsid w:val="004711EE"/>
    <w:rsid w:val="004727D1"/>
    <w:rsid w:val="0047325A"/>
    <w:rsid w:val="004734F0"/>
    <w:rsid w:val="004738BD"/>
    <w:rsid w:val="00473C36"/>
    <w:rsid w:val="00474B7B"/>
    <w:rsid w:val="00474E7E"/>
    <w:rsid w:val="00476240"/>
    <w:rsid w:val="00476407"/>
    <w:rsid w:val="004804E6"/>
    <w:rsid w:val="004812ED"/>
    <w:rsid w:val="004816A1"/>
    <w:rsid w:val="00482B96"/>
    <w:rsid w:val="00482E1A"/>
    <w:rsid w:val="00482F07"/>
    <w:rsid w:val="00483351"/>
    <w:rsid w:val="00483B00"/>
    <w:rsid w:val="00483FE0"/>
    <w:rsid w:val="004845AD"/>
    <w:rsid w:val="00485909"/>
    <w:rsid w:val="00487000"/>
    <w:rsid w:val="004873E5"/>
    <w:rsid w:val="00490B8A"/>
    <w:rsid w:val="00491152"/>
    <w:rsid w:val="00491C2E"/>
    <w:rsid w:val="004923A7"/>
    <w:rsid w:val="004928F3"/>
    <w:rsid w:val="00493758"/>
    <w:rsid w:val="00493ACE"/>
    <w:rsid w:val="0049468C"/>
    <w:rsid w:val="004949BC"/>
    <w:rsid w:val="00495458"/>
    <w:rsid w:val="00495644"/>
    <w:rsid w:val="004965C8"/>
    <w:rsid w:val="004967A4"/>
    <w:rsid w:val="00497DCA"/>
    <w:rsid w:val="004A003F"/>
    <w:rsid w:val="004A0539"/>
    <w:rsid w:val="004A11D3"/>
    <w:rsid w:val="004A3A98"/>
    <w:rsid w:val="004A48F3"/>
    <w:rsid w:val="004A535E"/>
    <w:rsid w:val="004A54CE"/>
    <w:rsid w:val="004A65D8"/>
    <w:rsid w:val="004A69A7"/>
    <w:rsid w:val="004A6A3F"/>
    <w:rsid w:val="004A6B52"/>
    <w:rsid w:val="004B0F75"/>
    <w:rsid w:val="004B1911"/>
    <w:rsid w:val="004B1C46"/>
    <w:rsid w:val="004B35F9"/>
    <w:rsid w:val="004B422A"/>
    <w:rsid w:val="004B4C84"/>
    <w:rsid w:val="004B5DAB"/>
    <w:rsid w:val="004B76BC"/>
    <w:rsid w:val="004B79EE"/>
    <w:rsid w:val="004B7B02"/>
    <w:rsid w:val="004C0037"/>
    <w:rsid w:val="004C073D"/>
    <w:rsid w:val="004C0D62"/>
    <w:rsid w:val="004C10CF"/>
    <w:rsid w:val="004C1AD8"/>
    <w:rsid w:val="004C25FA"/>
    <w:rsid w:val="004C294F"/>
    <w:rsid w:val="004C2965"/>
    <w:rsid w:val="004C2E55"/>
    <w:rsid w:val="004C30E1"/>
    <w:rsid w:val="004C3D03"/>
    <w:rsid w:val="004C445E"/>
    <w:rsid w:val="004C4BA0"/>
    <w:rsid w:val="004C4F44"/>
    <w:rsid w:val="004C4FB6"/>
    <w:rsid w:val="004C68C5"/>
    <w:rsid w:val="004C6C13"/>
    <w:rsid w:val="004C70EB"/>
    <w:rsid w:val="004C7310"/>
    <w:rsid w:val="004D190A"/>
    <w:rsid w:val="004D192E"/>
    <w:rsid w:val="004D1F0F"/>
    <w:rsid w:val="004D3BD3"/>
    <w:rsid w:val="004D3DCF"/>
    <w:rsid w:val="004D65C5"/>
    <w:rsid w:val="004D699E"/>
    <w:rsid w:val="004D70C5"/>
    <w:rsid w:val="004E0007"/>
    <w:rsid w:val="004E2211"/>
    <w:rsid w:val="004E2449"/>
    <w:rsid w:val="004E4253"/>
    <w:rsid w:val="004E518C"/>
    <w:rsid w:val="004E548F"/>
    <w:rsid w:val="004E5944"/>
    <w:rsid w:val="004E5A58"/>
    <w:rsid w:val="004E7235"/>
    <w:rsid w:val="004E7CAE"/>
    <w:rsid w:val="004E7E19"/>
    <w:rsid w:val="004F0166"/>
    <w:rsid w:val="004F12E5"/>
    <w:rsid w:val="004F1C4D"/>
    <w:rsid w:val="004F2354"/>
    <w:rsid w:val="004F36CA"/>
    <w:rsid w:val="004F38A9"/>
    <w:rsid w:val="004F4023"/>
    <w:rsid w:val="004F5822"/>
    <w:rsid w:val="004F5C1F"/>
    <w:rsid w:val="004F6D9C"/>
    <w:rsid w:val="004F6DFE"/>
    <w:rsid w:val="004F774D"/>
    <w:rsid w:val="004F7C63"/>
    <w:rsid w:val="00500D32"/>
    <w:rsid w:val="00501E24"/>
    <w:rsid w:val="0050315D"/>
    <w:rsid w:val="00503AB1"/>
    <w:rsid w:val="005050EE"/>
    <w:rsid w:val="00505906"/>
    <w:rsid w:val="0050595C"/>
    <w:rsid w:val="00506394"/>
    <w:rsid w:val="00506BD5"/>
    <w:rsid w:val="0050701E"/>
    <w:rsid w:val="005075FF"/>
    <w:rsid w:val="00511433"/>
    <w:rsid w:val="0051194B"/>
    <w:rsid w:val="00511951"/>
    <w:rsid w:val="00511983"/>
    <w:rsid w:val="005122E6"/>
    <w:rsid w:val="00512A90"/>
    <w:rsid w:val="00512B88"/>
    <w:rsid w:val="00512C34"/>
    <w:rsid w:val="00515162"/>
    <w:rsid w:val="00516298"/>
    <w:rsid w:val="0051631C"/>
    <w:rsid w:val="00516D92"/>
    <w:rsid w:val="00517721"/>
    <w:rsid w:val="00520271"/>
    <w:rsid w:val="005214E1"/>
    <w:rsid w:val="005216FA"/>
    <w:rsid w:val="00521B24"/>
    <w:rsid w:val="00521C18"/>
    <w:rsid w:val="0052306B"/>
    <w:rsid w:val="00523539"/>
    <w:rsid w:val="00523963"/>
    <w:rsid w:val="005246B8"/>
    <w:rsid w:val="0052481F"/>
    <w:rsid w:val="005263CA"/>
    <w:rsid w:val="00526818"/>
    <w:rsid w:val="00526B7D"/>
    <w:rsid w:val="00527147"/>
    <w:rsid w:val="00527449"/>
    <w:rsid w:val="005303E4"/>
    <w:rsid w:val="00530927"/>
    <w:rsid w:val="00531609"/>
    <w:rsid w:val="00533E22"/>
    <w:rsid w:val="005344F8"/>
    <w:rsid w:val="00534BD0"/>
    <w:rsid w:val="00534C17"/>
    <w:rsid w:val="00537254"/>
    <w:rsid w:val="0053799D"/>
    <w:rsid w:val="00537EB7"/>
    <w:rsid w:val="00541045"/>
    <w:rsid w:val="00541967"/>
    <w:rsid w:val="00542038"/>
    <w:rsid w:val="005432BB"/>
    <w:rsid w:val="005439DB"/>
    <w:rsid w:val="00543C69"/>
    <w:rsid w:val="0054463A"/>
    <w:rsid w:val="00544A2E"/>
    <w:rsid w:val="00547291"/>
    <w:rsid w:val="005508A1"/>
    <w:rsid w:val="00550CC4"/>
    <w:rsid w:val="00550F55"/>
    <w:rsid w:val="00550FBE"/>
    <w:rsid w:val="00551980"/>
    <w:rsid w:val="00551F1E"/>
    <w:rsid w:val="00552226"/>
    <w:rsid w:val="0055235C"/>
    <w:rsid w:val="005523A6"/>
    <w:rsid w:val="00553460"/>
    <w:rsid w:val="00553697"/>
    <w:rsid w:val="00554A82"/>
    <w:rsid w:val="0055657C"/>
    <w:rsid w:val="00556A61"/>
    <w:rsid w:val="00557FCE"/>
    <w:rsid w:val="00560547"/>
    <w:rsid w:val="00560854"/>
    <w:rsid w:val="00560F57"/>
    <w:rsid w:val="00561800"/>
    <w:rsid w:val="005622E4"/>
    <w:rsid w:val="00562392"/>
    <w:rsid w:val="00563A11"/>
    <w:rsid w:val="00563DC0"/>
    <w:rsid w:val="0056432E"/>
    <w:rsid w:val="005654C7"/>
    <w:rsid w:val="005657A4"/>
    <w:rsid w:val="00565CE8"/>
    <w:rsid w:val="00565D42"/>
    <w:rsid w:val="00566032"/>
    <w:rsid w:val="00567876"/>
    <w:rsid w:val="00567F9A"/>
    <w:rsid w:val="0057030D"/>
    <w:rsid w:val="0057353C"/>
    <w:rsid w:val="00573F75"/>
    <w:rsid w:val="00573FE7"/>
    <w:rsid w:val="00576EEE"/>
    <w:rsid w:val="00576FD5"/>
    <w:rsid w:val="005808F2"/>
    <w:rsid w:val="005813ED"/>
    <w:rsid w:val="0058178C"/>
    <w:rsid w:val="005825FC"/>
    <w:rsid w:val="00582E0B"/>
    <w:rsid w:val="00582E5D"/>
    <w:rsid w:val="00583379"/>
    <w:rsid w:val="005834FD"/>
    <w:rsid w:val="005836C6"/>
    <w:rsid w:val="00584E74"/>
    <w:rsid w:val="00585F60"/>
    <w:rsid w:val="00585F8E"/>
    <w:rsid w:val="00586C4A"/>
    <w:rsid w:val="00586DAD"/>
    <w:rsid w:val="0058754A"/>
    <w:rsid w:val="005908BC"/>
    <w:rsid w:val="00591461"/>
    <w:rsid w:val="005914B6"/>
    <w:rsid w:val="00591BE7"/>
    <w:rsid w:val="00592F27"/>
    <w:rsid w:val="00593329"/>
    <w:rsid w:val="005942A1"/>
    <w:rsid w:val="005944FD"/>
    <w:rsid w:val="00595169"/>
    <w:rsid w:val="00595AF2"/>
    <w:rsid w:val="00595E90"/>
    <w:rsid w:val="00596B5D"/>
    <w:rsid w:val="00596CE2"/>
    <w:rsid w:val="005A05D4"/>
    <w:rsid w:val="005A077F"/>
    <w:rsid w:val="005A07BE"/>
    <w:rsid w:val="005A083A"/>
    <w:rsid w:val="005A125F"/>
    <w:rsid w:val="005A22AF"/>
    <w:rsid w:val="005A244A"/>
    <w:rsid w:val="005A29D7"/>
    <w:rsid w:val="005A314F"/>
    <w:rsid w:val="005A31C8"/>
    <w:rsid w:val="005A35AD"/>
    <w:rsid w:val="005A3C2A"/>
    <w:rsid w:val="005A3F15"/>
    <w:rsid w:val="005A4744"/>
    <w:rsid w:val="005A4EEE"/>
    <w:rsid w:val="005A50FC"/>
    <w:rsid w:val="005A59B9"/>
    <w:rsid w:val="005A6E15"/>
    <w:rsid w:val="005B0035"/>
    <w:rsid w:val="005B05AF"/>
    <w:rsid w:val="005B0746"/>
    <w:rsid w:val="005B18DC"/>
    <w:rsid w:val="005B1F26"/>
    <w:rsid w:val="005B23A5"/>
    <w:rsid w:val="005B2B2C"/>
    <w:rsid w:val="005B2BC4"/>
    <w:rsid w:val="005B2E27"/>
    <w:rsid w:val="005B307F"/>
    <w:rsid w:val="005B3201"/>
    <w:rsid w:val="005B35A5"/>
    <w:rsid w:val="005B3F32"/>
    <w:rsid w:val="005B4AE7"/>
    <w:rsid w:val="005B4BC6"/>
    <w:rsid w:val="005B4DD5"/>
    <w:rsid w:val="005B4EA5"/>
    <w:rsid w:val="005B5C32"/>
    <w:rsid w:val="005B5DAB"/>
    <w:rsid w:val="005B5DEC"/>
    <w:rsid w:val="005B5F9F"/>
    <w:rsid w:val="005B6A97"/>
    <w:rsid w:val="005B70CA"/>
    <w:rsid w:val="005B76ED"/>
    <w:rsid w:val="005C002B"/>
    <w:rsid w:val="005C0DE4"/>
    <w:rsid w:val="005C0E59"/>
    <w:rsid w:val="005C0E95"/>
    <w:rsid w:val="005C13E2"/>
    <w:rsid w:val="005C1807"/>
    <w:rsid w:val="005C22C3"/>
    <w:rsid w:val="005C2C63"/>
    <w:rsid w:val="005C2EF7"/>
    <w:rsid w:val="005C2F6C"/>
    <w:rsid w:val="005C44D9"/>
    <w:rsid w:val="005C5A68"/>
    <w:rsid w:val="005C62B2"/>
    <w:rsid w:val="005C6462"/>
    <w:rsid w:val="005C7290"/>
    <w:rsid w:val="005C745C"/>
    <w:rsid w:val="005C74EB"/>
    <w:rsid w:val="005C7DB4"/>
    <w:rsid w:val="005D10F2"/>
    <w:rsid w:val="005D176E"/>
    <w:rsid w:val="005D1842"/>
    <w:rsid w:val="005D2FBA"/>
    <w:rsid w:val="005D44CB"/>
    <w:rsid w:val="005D44DB"/>
    <w:rsid w:val="005D5D94"/>
    <w:rsid w:val="005D5DCC"/>
    <w:rsid w:val="005D600F"/>
    <w:rsid w:val="005D6908"/>
    <w:rsid w:val="005D76CA"/>
    <w:rsid w:val="005D7A61"/>
    <w:rsid w:val="005D7B36"/>
    <w:rsid w:val="005E06C7"/>
    <w:rsid w:val="005E07D7"/>
    <w:rsid w:val="005E09CD"/>
    <w:rsid w:val="005E0BC8"/>
    <w:rsid w:val="005E1444"/>
    <w:rsid w:val="005E172D"/>
    <w:rsid w:val="005E1C6C"/>
    <w:rsid w:val="005E1DDB"/>
    <w:rsid w:val="005E2852"/>
    <w:rsid w:val="005E2EB7"/>
    <w:rsid w:val="005E48D9"/>
    <w:rsid w:val="005E4AF6"/>
    <w:rsid w:val="005E5338"/>
    <w:rsid w:val="005E7226"/>
    <w:rsid w:val="005E7EFE"/>
    <w:rsid w:val="005F2E4F"/>
    <w:rsid w:val="005F3417"/>
    <w:rsid w:val="005F35D3"/>
    <w:rsid w:val="005F3D26"/>
    <w:rsid w:val="005F4517"/>
    <w:rsid w:val="005F5A40"/>
    <w:rsid w:val="005F5FF4"/>
    <w:rsid w:val="005F6BAA"/>
    <w:rsid w:val="005F707A"/>
    <w:rsid w:val="005F76B5"/>
    <w:rsid w:val="005F7ED4"/>
    <w:rsid w:val="00600C06"/>
    <w:rsid w:val="006015F1"/>
    <w:rsid w:val="00601DA1"/>
    <w:rsid w:val="006023B8"/>
    <w:rsid w:val="00603038"/>
    <w:rsid w:val="00604173"/>
    <w:rsid w:val="006047DB"/>
    <w:rsid w:val="0060487F"/>
    <w:rsid w:val="006051F7"/>
    <w:rsid w:val="00605258"/>
    <w:rsid w:val="0060555B"/>
    <w:rsid w:val="00605A9A"/>
    <w:rsid w:val="00606307"/>
    <w:rsid w:val="006068D9"/>
    <w:rsid w:val="0060721F"/>
    <w:rsid w:val="0060787D"/>
    <w:rsid w:val="00607AF9"/>
    <w:rsid w:val="00607EB5"/>
    <w:rsid w:val="006103B4"/>
    <w:rsid w:val="00610533"/>
    <w:rsid w:val="00610737"/>
    <w:rsid w:val="00611836"/>
    <w:rsid w:val="006132A9"/>
    <w:rsid w:val="00613798"/>
    <w:rsid w:val="00613998"/>
    <w:rsid w:val="00614CB6"/>
    <w:rsid w:val="00614F6A"/>
    <w:rsid w:val="0061556F"/>
    <w:rsid w:val="00616407"/>
    <w:rsid w:val="0061649F"/>
    <w:rsid w:val="00616F9C"/>
    <w:rsid w:val="006203B3"/>
    <w:rsid w:val="00620991"/>
    <w:rsid w:val="00620A83"/>
    <w:rsid w:val="006215DC"/>
    <w:rsid w:val="00621E70"/>
    <w:rsid w:val="00625217"/>
    <w:rsid w:val="0062535B"/>
    <w:rsid w:val="00625BDA"/>
    <w:rsid w:val="00625D11"/>
    <w:rsid w:val="006261FC"/>
    <w:rsid w:val="00626EB8"/>
    <w:rsid w:val="006272C9"/>
    <w:rsid w:val="00627AEF"/>
    <w:rsid w:val="00627D32"/>
    <w:rsid w:val="0063065F"/>
    <w:rsid w:val="00630E1B"/>
    <w:rsid w:val="00630ED8"/>
    <w:rsid w:val="0063111B"/>
    <w:rsid w:val="006322C8"/>
    <w:rsid w:val="0063317B"/>
    <w:rsid w:val="00633759"/>
    <w:rsid w:val="00633B2F"/>
    <w:rsid w:val="0063453C"/>
    <w:rsid w:val="00634884"/>
    <w:rsid w:val="006351B0"/>
    <w:rsid w:val="00635842"/>
    <w:rsid w:val="006358D2"/>
    <w:rsid w:val="00635B76"/>
    <w:rsid w:val="00636386"/>
    <w:rsid w:val="0063654F"/>
    <w:rsid w:val="006374BB"/>
    <w:rsid w:val="006402F7"/>
    <w:rsid w:val="00641085"/>
    <w:rsid w:val="00641501"/>
    <w:rsid w:val="00641AA9"/>
    <w:rsid w:val="00642B17"/>
    <w:rsid w:val="00642BFC"/>
    <w:rsid w:val="00642CD2"/>
    <w:rsid w:val="006434F0"/>
    <w:rsid w:val="00646036"/>
    <w:rsid w:val="0064633D"/>
    <w:rsid w:val="00646CD5"/>
    <w:rsid w:val="006476D2"/>
    <w:rsid w:val="00647FC2"/>
    <w:rsid w:val="006506EA"/>
    <w:rsid w:val="0065073F"/>
    <w:rsid w:val="0065081A"/>
    <w:rsid w:val="0065106C"/>
    <w:rsid w:val="006517AE"/>
    <w:rsid w:val="00652623"/>
    <w:rsid w:val="00653997"/>
    <w:rsid w:val="00654C2F"/>
    <w:rsid w:val="00655117"/>
    <w:rsid w:val="006555C3"/>
    <w:rsid w:val="00656E60"/>
    <w:rsid w:val="00656F7F"/>
    <w:rsid w:val="00657A9C"/>
    <w:rsid w:val="006617A5"/>
    <w:rsid w:val="0066199E"/>
    <w:rsid w:val="00662593"/>
    <w:rsid w:val="0066269E"/>
    <w:rsid w:val="00662D75"/>
    <w:rsid w:val="00663219"/>
    <w:rsid w:val="00665124"/>
    <w:rsid w:val="0066550E"/>
    <w:rsid w:val="00667008"/>
    <w:rsid w:val="006675C5"/>
    <w:rsid w:val="00670948"/>
    <w:rsid w:val="00670E33"/>
    <w:rsid w:val="00670FCB"/>
    <w:rsid w:val="006712FB"/>
    <w:rsid w:val="0067297D"/>
    <w:rsid w:val="0067299C"/>
    <w:rsid w:val="00674017"/>
    <w:rsid w:val="0067624D"/>
    <w:rsid w:val="006762C9"/>
    <w:rsid w:val="006765D5"/>
    <w:rsid w:val="00676FF5"/>
    <w:rsid w:val="00677375"/>
    <w:rsid w:val="00680C6A"/>
    <w:rsid w:val="00681010"/>
    <w:rsid w:val="0068147C"/>
    <w:rsid w:val="006816BA"/>
    <w:rsid w:val="00683198"/>
    <w:rsid w:val="0068321C"/>
    <w:rsid w:val="00683693"/>
    <w:rsid w:val="00683E2C"/>
    <w:rsid w:val="00684076"/>
    <w:rsid w:val="006848F9"/>
    <w:rsid w:val="00684EA3"/>
    <w:rsid w:val="0068513A"/>
    <w:rsid w:val="006851C0"/>
    <w:rsid w:val="0068528F"/>
    <w:rsid w:val="00685452"/>
    <w:rsid w:val="006860C7"/>
    <w:rsid w:val="006866FF"/>
    <w:rsid w:val="00686829"/>
    <w:rsid w:val="006869CD"/>
    <w:rsid w:val="0068724A"/>
    <w:rsid w:val="0068769C"/>
    <w:rsid w:val="00687751"/>
    <w:rsid w:val="00690334"/>
    <w:rsid w:val="006908A2"/>
    <w:rsid w:val="00690BE7"/>
    <w:rsid w:val="006920F3"/>
    <w:rsid w:val="00692E13"/>
    <w:rsid w:val="0069415C"/>
    <w:rsid w:val="00694C4E"/>
    <w:rsid w:val="0069508D"/>
    <w:rsid w:val="00695EA4"/>
    <w:rsid w:val="00696764"/>
    <w:rsid w:val="00696AA4"/>
    <w:rsid w:val="00696E9E"/>
    <w:rsid w:val="00697096"/>
    <w:rsid w:val="0069765C"/>
    <w:rsid w:val="006A0FA7"/>
    <w:rsid w:val="006A1B3A"/>
    <w:rsid w:val="006A1E1E"/>
    <w:rsid w:val="006A286E"/>
    <w:rsid w:val="006A3764"/>
    <w:rsid w:val="006A37D7"/>
    <w:rsid w:val="006A513A"/>
    <w:rsid w:val="006A5331"/>
    <w:rsid w:val="006A58A7"/>
    <w:rsid w:val="006A5CB1"/>
    <w:rsid w:val="006A610A"/>
    <w:rsid w:val="006A62E5"/>
    <w:rsid w:val="006A6D41"/>
    <w:rsid w:val="006A7B3D"/>
    <w:rsid w:val="006A7B64"/>
    <w:rsid w:val="006A7D80"/>
    <w:rsid w:val="006B0031"/>
    <w:rsid w:val="006B0F28"/>
    <w:rsid w:val="006B1E1F"/>
    <w:rsid w:val="006B2A28"/>
    <w:rsid w:val="006B2A6F"/>
    <w:rsid w:val="006B3530"/>
    <w:rsid w:val="006B48E4"/>
    <w:rsid w:val="006B55C3"/>
    <w:rsid w:val="006B59A6"/>
    <w:rsid w:val="006B69F8"/>
    <w:rsid w:val="006B6B12"/>
    <w:rsid w:val="006B6D5A"/>
    <w:rsid w:val="006B6D64"/>
    <w:rsid w:val="006B7DAD"/>
    <w:rsid w:val="006C0559"/>
    <w:rsid w:val="006C0A93"/>
    <w:rsid w:val="006C0AB2"/>
    <w:rsid w:val="006C0BBD"/>
    <w:rsid w:val="006C131B"/>
    <w:rsid w:val="006C1B85"/>
    <w:rsid w:val="006C2F89"/>
    <w:rsid w:val="006C3703"/>
    <w:rsid w:val="006C4188"/>
    <w:rsid w:val="006C4930"/>
    <w:rsid w:val="006C4D42"/>
    <w:rsid w:val="006C5FBE"/>
    <w:rsid w:val="006C6217"/>
    <w:rsid w:val="006C67F9"/>
    <w:rsid w:val="006C69A7"/>
    <w:rsid w:val="006C74FD"/>
    <w:rsid w:val="006D099C"/>
    <w:rsid w:val="006D0B8B"/>
    <w:rsid w:val="006D0FD0"/>
    <w:rsid w:val="006D1D81"/>
    <w:rsid w:val="006D3933"/>
    <w:rsid w:val="006D434E"/>
    <w:rsid w:val="006D446E"/>
    <w:rsid w:val="006D46E1"/>
    <w:rsid w:val="006D4A5E"/>
    <w:rsid w:val="006D5573"/>
    <w:rsid w:val="006D5B59"/>
    <w:rsid w:val="006D5CD1"/>
    <w:rsid w:val="006D6986"/>
    <w:rsid w:val="006D7754"/>
    <w:rsid w:val="006D7CC9"/>
    <w:rsid w:val="006D7F4F"/>
    <w:rsid w:val="006E0D6F"/>
    <w:rsid w:val="006E1DBB"/>
    <w:rsid w:val="006E27FE"/>
    <w:rsid w:val="006E2F70"/>
    <w:rsid w:val="006E3C9E"/>
    <w:rsid w:val="006E456D"/>
    <w:rsid w:val="006E56D9"/>
    <w:rsid w:val="006E571C"/>
    <w:rsid w:val="006E5890"/>
    <w:rsid w:val="006E5DC4"/>
    <w:rsid w:val="006E5E70"/>
    <w:rsid w:val="006E6541"/>
    <w:rsid w:val="006E669A"/>
    <w:rsid w:val="006E6B60"/>
    <w:rsid w:val="006E6C59"/>
    <w:rsid w:val="006E6E4F"/>
    <w:rsid w:val="006E6E6B"/>
    <w:rsid w:val="006E7468"/>
    <w:rsid w:val="006E76A9"/>
    <w:rsid w:val="006E7B9F"/>
    <w:rsid w:val="006F0625"/>
    <w:rsid w:val="006F0651"/>
    <w:rsid w:val="006F0A68"/>
    <w:rsid w:val="006F121E"/>
    <w:rsid w:val="006F16FC"/>
    <w:rsid w:val="006F2504"/>
    <w:rsid w:val="006F2952"/>
    <w:rsid w:val="006F3BE6"/>
    <w:rsid w:val="006F3F72"/>
    <w:rsid w:val="006F4DF3"/>
    <w:rsid w:val="006F57C1"/>
    <w:rsid w:val="006F5AD2"/>
    <w:rsid w:val="006F6252"/>
    <w:rsid w:val="006F62FC"/>
    <w:rsid w:val="006F6415"/>
    <w:rsid w:val="006F695E"/>
    <w:rsid w:val="006F6D8F"/>
    <w:rsid w:val="006F7376"/>
    <w:rsid w:val="00701BFC"/>
    <w:rsid w:val="00701E7D"/>
    <w:rsid w:val="007026A3"/>
    <w:rsid w:val="00703DDF"/>
    <w:rsid w:val="007055E3"/>
    <w:rsid w:val="007068D6"/>
    <w:rsid w:val="00706CF7"/>
    <w:rsid w:val="007074AC"/>
    <w:rsid w:val="00707609"/>
    <w:rsid w:val="007078B0"/>
    <w:rsid w:val="0070799A"/>
    <w:rsid w:val="00707A41"/>
    <w:rsid w:val="00710A91"/>
    <w:rsid w:val="00710DFE"/>
    <w:rsid w:val="00713048"/>
    <w:rsid w:val="00713C62"/>
    <w:rsid w:val="00713D2F"/>
    <w:rsid w:val="007142D4"/>
    <w:rsid w:val="00715F4B"/>
    <w:rsid w:val="00716888"/>
    <w:rsid w:val="00716935"/>
    <w:rsid w:val="00716B95"/>
    <w:rsid w:val="00716BDC"/>
    <w:rsid w:val="007175C7"/>
    <w:rsid w:val="00717734"/>
    <w:rsid w:val="00717B5B"/>
    <w:rsid w:val="00717D08"/>
    <w:rsid w:val="007206A5"/>
    <w:rsid w:val="0072080C"/>
    <w:rsid w:val="007219EE"/>
    <w:rsid w:val="007228BD"/>
    <w:rsid w:val="00722DDE"/>
    <w:rsid w:val="007230C8"/>
    <w:rsid w:val="00723483"/>
    <w:rsid w:val="00723501"/>
    <w:rsid w:val="0072416B"/>
    <w:rsid w:val="00724845"/>
    <w:rsid w:val="0072489C"/>
    <w:rsid w:val="00724B2C"/>
    <w:rsid w:val="0072529C"/>
    <w:rsid w:val="007253CC"/>
    <w:rsid w:val="0072589D"/>
    <w:rsid w:val="00730CCC"/>
    <w:rsid w:val="007310FE"/>
    <w:rsid w:val="00731660"/>
    <w:rsid w:val="007319DF"/>
    <w:rsid w:val="00732087"/>
    <w:rsid w:val="007321E8"/>
    <w:rsid w:val="007322EA"/>
    <w:rsid w:val="00732960"/>
    <w:rsid w:val="00734157"/>
    <w:rsid w:val="00735240"/>
    <w:rsid w:val="007356F7"/>
    <w:rsid w:val="00735BE2"/>
    <w:rsid w:val="007362CF"/>
    <w:rsid w:val="00737187"/>
    <w:rsid w:val="00737907"/>
    <w:rsid w:val="00737971"/>
    <w:rsid w:val="00740D18"/>
    <w:rsid w:val="00740DCB"/>
    <w:rsid w:val="0074110C"/>
    <w:rsid w:val="007411AC"/>
    <w:rsid w:val="007417A4"/>
    <w:rsid w:val="007417FE"/>
    <w:rsid w:val="00742812"/>
    <w:rsid w:val="0074287C"/>
    <w:rsid w:val="007434DB"/>
    <w:rsid w:val="007439CD"/>
    <w:rsid w:val="00743B95"/>
    <w:rsid w:val="00743D9D"/>
    <w:rsid w:val="00743FB3"/>
    <w:rsid w:val="007446C6"/>
    <w:rsid w:val="00744C29"/>
    <w:rsid w:val="00744D9B"/>
    <w:rsid w:val="0074636A"/>
    <w:rsid w:val="00746C53"/>
    <w:rsid w:val="00746D52"/>
    <w:rsid w:val="00746F8B"/>
    <w:rsid w:val="007475BC"/>
    <w:rsid w:val="007503F5"/>
    <w:rsid w:val="00750F06"/>
    <w:rsid w:val="0075190F"/>
    <w:rsid w:val="00751B84"/>
    <w:rsid w:val="007521B8"/>
    <w:rsid w:val="00753CA2"/>
    <w:rsid w:val="00754628"/>
    <w:rsid w:val="00754ABD"/>
    <w:rsid w:val="00754ACC"/>
    <w:rsid w:val="0075524E"/>
    <w:rsid w:val="00755D96"/>
    <w:rsid w:val="00756A35"/>
    <w:rsid w:val="00757889"/>
    <w:rsid w:val="00757EBD"/>
    <w:rsid w:val="0076063F"/>
    <w:rsid w:val="00761FFC"/>
    <w:rsid w:val="0076273F"/>
    <w:rsid w:val="00762950"/>
    <w:rsid w:val="00763563"/>
    <w:rsid w:val="007652F1"/>
    <w:rsid w:val="00765553"/>
    <w:rsid w:val="00765951"/>
    <w:rsid w:val="00765C67"/>
    <w:rsid w:val="007662AB"/>
    <w:rsid w:val="00766A07"/>
    <w:rsid w:val="00767348"/>
    <w:rsid w:val="00767F15"/>
    <w:rsid w:val="00767F9D"/>
    <w:rsid w:val="00770282"/>
    <w:rsid w:val="007705EA"/>
    <w:rsid w:val="00770B7F"/>
    <w:rsid w:val="00770B91"/>
    <w:rsid w:val="00770CB2"/>
    <w:rsid w:val="0077165C"/>
    <w:rsid w:val="007726D0"/>
    <w:rsid w:val="00773E67"/>
    <w:rsid w:val="00774FE0"/>
    <w:rsid w:val="007752BB"/>
    <w:rsid w:val="00777F67"/>
    <w:rsid w:val="00780180"/>
    <w:rsid w:val="00780870"/>
    <w:rsid w:val="007833CB"/>
    <w:rsid w:val="00783FEC"/>
    <w:rsid w:val="00783FF6"/>
    <w:rsid w:val="00784ED9"/>
    <w:rsid w:val="007857BD"/>
    <w:rsid w:val="00785AAD"/>
    <w:rsid w:val="00786114"/>
    <w:rsid w:val="007870A5"/>
    <w:rsid w:val="007877CC"/>
    <w:rsid w:val="00787AB7"/>
    <w:rsid w:val="00790302"/>
    <w:rsid w:val="007903FC"/>
    <w:rsid w:val="00790453"/>
    <w:rsid w:val="00791293"/>
    <w:rsid w:val="00791473"/>
    <w:rsid w:val="00791884"/>
    <w:rsid w:val="00793714"/>
    <w:rsid w:val="00794167"/>
    <w:rsid w:val="00797443"/>
    <w:rsid w:val="007A00C3"/>
    <w:rsid w:val="007A1BB8"/>
    <w:rsid w:val="007A3292"/>
    <w:rsid w:val="007A35E6"/>
    <w:rsid w:val="007A3D03"/>
    <w:rsid w:val="007A3E10"/>
    <w:rsid w:val="007A4247"/>
    <w:rsid w:val="007A475C"/>
    <w:rsid w:val="007A4837"/>
    <w:rsid w:val="007A5B00"/>
    <w:rsid w:val="007A5FF0"/>
    <w:rsid w:val="007A7487"/>
    <w:rsid w:val="007A7625"/>
    <w:rsid w:val="007A78C1"/>
    <w:rsid w:val="007A7A74"/>
    <w:rsid w:val="007B0C68"/>
    <w:rsid w:val="007B0CB1"/>
    <w:rsid w:val="007B0D02"/>
    <w:rsid w:val="007B4658"/>
    <w:rsid w:val="007B46AE"/>
    <w:rsid w:val="007B53CF"/>
    <w:rsid w:val="007B5BCD"/>
    <w:rsid w:val="007B6105"/>
    <w:rsid w:val="007B7289"/>
    <w:rsid w:val="007B767F"/>
    <w:rsid w:val="007B7E6B"/>
    <w:rsid w:val="007C1129"/>
    <w:rsid w:val="007C13FC"/>
    <w:rsid w:val="007C1AC2"/>
    <w:rsid w:val="007C1C3F"/>
    <w:rsid w:val="007C1D9C"/>
    <w:rsid w:val="007C1DD0"/>
    <w:rsid w:val="007C1EAF"/>
    <w:rsid w:val="007C1FAA"/>
    <w:rsid w:val="007C27B6"/>
    <w:rsid w:val="007C2A8B"/>
    <w:rsid w:val="007C2FB4"/>
    <w:rsid w:val="007C389C"/>
    <w:rsid w:val="007C4632"/>
    <w:rsid w:val="007C481C"/>
    <w:rsid w:val="007C4B66"/>
    <w:rsid w:val="007C5121"/>
    <w:rsid w:val="007C64B4"/>
    <w:rsid w:val="007C66A6"/>
    <w:rsid w:val="007C686A"/>
    <w:rsid w:val="007C6D7B"/>
    <w:rsid w:val="007C6DFF"/>
    <w:rsid w:val="007C7A4C"/>
    <w:rsid w:val="007D0C56"/>
    <w:rsid w:val="007D1670"/>
    <w:rsid w:val="007D2271"/>
    <w:rsid w:val="007D2FB5"/>
    <w:rsid w:val="007D318E"/>
    <w:rsid w:val="007D3337"/>
    <w:rsid w:val="007D4187"/>
    <w:rsid w:val="007D4649"/>
    <w:rsid w:val="007D4843"/>
    <w:rsid w:val="007D4E48"/>
    <w:rsid w:val="007D4F3B"/>
    <w:rsid w:val="007D6605"/>
    <w:rsid w:val="007D6F25"/>
    <w:rsid w:val="007D799D"/>
    <w:rsid w:val="007E0368"/>
    <w:rsid w:val="007E0447"/>
    <w:rsid w:val="007E09C2"/>
    <w:rsid w:val="007E131E"/>
    <w:rsid w:val="007E17CA"/>
    <w:rsid w:val="007E1EB9"/>
    <w:rsid w:val="007E22A0"/>
    <w:rsid w:val="007E2F94"/>
    <w:rsid w:val="007E3430"/>
    <w:rsid w:val="007E344E"/>
    <w:rsid w:val="007E3D34"/>
    <w:rsid w:val="007E4085"/>
    <w:rsid w:val="007E4285"/>
    <w:rsid w:val="007E5448"/>
    <w:rsid w:val="007E5A0B"/>
    <w:rsid w:val="007E5B0F"/>
    <w:rsid w:val="007E6282"/>
    <w:rsid w:val="007E6452"/>
    <w:rsid w:val="007E703C"/>
    <w:rsid w:val="007E71B4"/>
    <w:rsid w:val="007F0204"/>
    <w:rsid w:val="007F081C"/>
    <w:rsid w:val="007F0C7F"/>
    <w:rsid w:val="007F27E9"/>
    <w:rsid w:val="007F2A0C"/>
    <w:rsid w:val="007F3290"/>
    <w:rsid w:val="007F356A"/>
    <w:rsid w:val="007F4843"/>
    <w:rsid w:val="007F4BFA"/>
    <w:rsid w:val="007F5F99"/>
    <w:rsid w:val="007F62EE"/>
    <w:rsid w:val="007F6B61"/>
    <w:rsid w:val="008006DC"/>
    <w:rsid w:val="0080114D"/>
    <w:rsid w:val="00801AE6"/>
    <w:rsid w:val="00801D12"/>
    <w:rsid w:val="00802334"/>
    <w:rsid w:val="00802AB3"/>
    <w:rsid w:val="008031AE"/>
    <w:rsid w:val="00803537"/>
    <w:rsid w:val="00803EB3"/>
    <w:rsid w:val="00804C9B"/>
    <w:rsid w:val="00805E9B"/>
    <w:rsid w:val="00806C67"/>
    <w:rsid w:val="008072F4"/>
    <w:rsid w:val="008076D7"/>
    <w:rsid w:val="0081116A"/>
    <w:rsid w:val="0081185E"/>
    <w:rsid w:val="00811885"/>
    <w:rsid w:val="008128F0"/>
    <w:rsid w:val="00812AF3"/>
    <w:rsid w:val="00814161"/>
    <w:rsid w:val="00814371"/>
    <w:rsid w:val="0081441E"/>
    <w:rsid w:val="008156A3"/>
    <w:rsid w:val="00816043"/>
    <w:rsid w:val="0081610D"/>
    <w:rsid w:val="008171D6"/>
    <w:rsid w:val="00817419"/>
    <w:rsid w:val="00817C6E"/>
    <w:rsid w:val="00820140"/>
    <w:rsid w:val="00820F02"/>
    <w:rsid w:val="00821EBD"/>
    <w:rsid w:val="008221AD"/>
    <w:rsid w:val="008225FC"/>
    <w:rsid w:val="00822BEF"/>
    <w:rsid w:val="008246A9"/>
    <w:rsid w:val="008246EF"/>
    <w:rsid w:val="00825923"/>
    <w:rsid w:val="00826BE1"/>
    <w:rsid w:val="008304F9"/>
    <w:rsid w:val="00830642"/>
    <w:rsid w:val="00830892"/>
    <w:rsid w:val="00830F4B"/>
    <w:rsid w:val="008310C8"/>
    <w:rsid w:val="008310DB"/>
    <w:rsid w:val="0083145B"/>
    <w:rsid w:val="00831B43"/>
    <w:rsid w:val="008331D3"/>
    <w:rsid w:val="00834074"/>
    <w:rsid w:val="0083604D"/>
    <w:rsid w:val="00836348"/>
    <w:rsid w:val="008371BC"/>
    <w:rsid w:val="00837284"/>
    <w:rsid w:val="00837325"/>
    <w:rsid w:val="00837AD2"/>
    <w:rsid w:val="00837D7D"/>
    <w:rsid w:val="00840021"/>
    <w:rsid w:val="008405B8"/>
    <w:rsid w:val="00840B63"/>
    <w:rsid w:val="00841141"/>
    <w:rsid w:val="00841AA8"/>
    <w:rsid w:val="0084246D"/>
    <w:rsid w:val="0084248F"/>
    <w:rsid w:val="008424C7"/>
    <w:rsid w:val="008424E1"/>
    <w:rsid w:val="008434F2"/>
    <w:rsid w:val="008447D5"/>
    <w:rsid w:val="00844A69"/>
    <w:rsid w:val="00845B36"/>
    <w:rsid w:val="00845E86"/>
    <w:rsid w:val="008462C3"/>
    <w:rsid w:val="00847609"/>
    <w:rsid w:val="00847CFD"/>
    <w:rsid w:val="008504A7"/>
    <w:rsid w:val="008507D6"/>
    <w:rsid w:val="00851C70"/>
    <w:rsid w:val="00851C8A"/>
    <w:rsid w:val="00852443"/>
    <w:rsid w:val="00853322"/>
    <w:rsid w:val="00853A52"/>
    <w:rsid w:val="00853AD9"/>
    <w:rsid w:val="00854DDE"/>
    <w:rsid w:val="00855397"/>
    <w:rsid w:val="008553A2"/>
    <w:rsid w:val="0085584D"/>
    <w:rsid w:val="00855F79"/>
    <w:rsid w:val="0085624C"/>
    <w:rsid w:val="0085626C"/>
    <w:rsid w:val="0085671F"/>
    <w:rsid w:val="00856C36"/>
    <w:rsid w:val="00856FD3"/>
    <w:rsid w:val="00857881"/>
    <w:rsid w:val="00857C2A"/>
    <w:rsid w:val="00860121"/>
    <w:rsid w:val="00860421"/>
    <w:rsid w:val="00860D06"/>
    <w:rsid w:val="00861408"/>
    <w:rsid w:val="00861518"/>
    <w:rsid w:val="0086297D"/>
    <w:rsid w:val="00862FE7"/>
    <w:rsid w:val="00863270"/>
    <w:rsid w:val="008643C9"/>
    <w:rsid w:val="008646BA"/>
    <w:rsid w:val="00865805"/>
    <w:rsid w:val="0086641E"/>
    <w:rsid w:val="0086655B"/>
    <w:rsid w:val="00866DB8"/>
    <w:rsid w:val="008671D9"/>
    <w:rsid w:val="00870905"/>
    <w:rsid w:val="00870FB6"/>
    <w:rsid w:val="008711F3"/>
    <w:rsid w:val="00871756"/>
    <w:rsid w:val="008719CD"/>
    <w:rsid w:val="00872F0D"/>
    <w:rsid w:val="00873094"/>
    <w:rsid w:val="00873B10"/>
    <w:rsid w:val="00873C82"/>
    <w:rsid w:val="00873D14"/>
    <w:rsid w:val="00874AAB"/>
    <w:rsid w:val="00875376"/>
    <w:rsid w:val="00875F3F"/>
    <w:rsid w:val="008766A4"/>
    <w:rsid w:val="0087723F"/>
    <w:rsid w:val="00877509"/>
    <w:rsid w:val="0087788F"/>
    <w:rsid w:val="00877AB8"/>
    <w:rsid w:val="00880632"/>
    <w:rsid w:val="00881FEC"/>
    <w:rsid w:val="008826B0"/>
    <w:rsid w:val="008827CB"/>
    <w:rsid w:val="00883454"/>
    <w:rsid w:val="008848A9"/>
    <w:rsid w:val="008848B0"/>
    <w:rsid w:val="00885427"/>
    <w:rsid w:val="00885EB1"/>
    <w:rsid w:val="00886170"/>
    <w:rsid w:val="00886A0C"/>
    <w:rsid w:val="00886C03"/>
    <w:rsid w:val="008879E7"/>
    <w:rsid w:val="008912D0"/>
    <w:rsid w:val="00891E46"/>
    <w:rsid w:val="008921BA"/>
    <w:rsid w:val="0089280F"/>
    <w:rsid w:val="008928F1"/>
    <w:rsid w:val="00893158"/>
    <w:rsid w:val="00894D56"/>
    <w:rsid w:val="00895A79"/>
    <w:rsid w:val="00896776"/>
    <w:rsid w:val="00896F40"/>
    <w:rsid w:val="00897005"/>
    <w:rsid w:val="0089784E"/>
    <w:rsid w:val="00897883"/>
    <w:rsid w:val="0089794B"/>
    <w:rsid w:val="008A0D94"/>
    <w:rsid w:val="008A1227"/>
    <w:rsid w:val="008A21DC"/>
    <w:rsid w:val="008A3255"/>
    <w:rsid w:val="008A37C1"/>
    <w:rsid w:val="008A434D"/>
    <w:rsid w:val="008A43E8"/>
    <w:rsid w:val="008A4819"/>
    <w:rsid w:val="008A5D5C"/>
    <w:rsid w:val="008A7046"/>
    <w:rsid w:val="008A73D9"/>
    <w:rsid w:val="008A7557"/>
    <w:rsid w:val="008A7C9F"/>
    <w:rsid w:val="008B159B"/>
    <w:rsid w:val="008B197B"/>
    <w:rsid w:val="008B26FF"/>
    <w:rsid w:val="008B2B08"/>
    <w:rsid w:val="008B2EFB"/>
    <w:rsid w:val="008B2F40"/>
    <w:rsid w:val="008B33B2"/>
    <w:rsid w:val="008B3AA7"/>
    <w:rsid w:val="008B42F4"/>
    <w:rsid w:val="008B4D7A"/>
    <w:rsid w:val="008B5F76"/>
    <w:rsid w:val="008B6EFA"/>
    <w:rsid w:val="008C0D43"/>
    <w:rsid w:val="008C13E6"/>
    <w:rsid w:val="008C1903"/>
    <w:rsid w:val="008C1DB9"/>
    <w:rsid w:val="008C1EE6"/>
    <w:rsid w:val="008C213E"/>
    <w:rsid w:val="008C271D"/>
    <w:rsid w:val="008C47B5"/>
    <w:rsid w:val="008D0C72"/>
    <w:rsid w:val="008D358F"/>
    <w:rsid w:val="008D4157"/>
    <w:rsid w:val="008D4E3C"/>
    <w:rsid w:val="008D4F27"/>
    <w:rsid w:val="008D51E0"/>
    <w:rsid w:val="008D5A59"/>
    <w:rsid w:val="008D5B27"/>
    <w:rsid w:val="008D63F0"/>
    <w:rsid w:val="008E021F"/>
    <w:rsid w:val="008E0A16"/>
    <w:rsid w:val="008E0BD5"/>
    <w:rsid w:val="008E16AE"/>
    <w:rsid w:val="008E175A"/>
    <w:rsid w:val="008E34F8"/>
    <w:rsid w:val="008E4401"/>
    <w:rsid w:val="008E6157"/>
    <w:rsid w:val="008E639F"/>
    <w:rsid w:val="008E64A5"/>
    <w:rsid w:val="008E74E8"/>
    <w:rsid w:val="008F0319"/>
    <w:rsid w:val="008F0535"/>
    <w:rsid w:val="008F085E"/>
    <w:rsid w:val="008F1041"/>
    <w:rsid w:val="008F1AFB"/>
    <w:rsid w:val="008F214D"/>
    <w:rsid w:val="008F28DC"/>
    <w:rsid w:val="008F2C73"/>
    <w:rsid w:val="008F4956"/>
    <w:rsid w:val="008F5ADE"/>
    <w:rsid w:val="008F5FE8"/>
    <w:rsid w:val="008F7794"/>
    <w:rsid w:val="008F7AC7"/>
    <w:rsid w:val="00900368"/>
    <w:rsid w:val="0090071C"/>
    <w:rsid w:val="00900970"/>
    <w:rsid w:val="00901015"/>
    <w:rsid w:val="009010C4"/>
    <w:rsid w:val="00902336"/>
    <w:rsid w:val="00902B8A"/>
    <w:rsid w:val="00903313"/>
    <w:rsid w:val="0090368E"/>
    <w:rsid w:val="00903AAB"/>
    <w:rsid w:val="009044A2"/>
    <w:rsid w:val="00904A19"/>
    <w:rsid w:val="00904AC1"/>
    <w:rsid w:val="00904ACD"/>
    <w:rsid w:val="00904B03"/>
    <w:rsid w:val="00904B2A"/>
    <w:rsid w:val="00904C82"/>
    <w:rsid w:val="009056EC"/>
    <w:rsid w:val="00905DAE"/>
    <w:rsid w:val="00906E42"/>
    <w:rsid w:val="009104BA"/>
    <w:rsid w:val="00911130"/>
    <w:rsid w:val="009126B7"/>
    <w:rsid w:val="009128E9"/>
    <w:rsid w:val="00913FAC"/>
    <w:rsid w:val="00914B27"/>
    <w:rsid w:val="00914E9E"/>
    <w:rsid w:val="009158A5"/>
    <w:rsid w:val="00915BF0"/>
    <w:rsid w:val="00915D95"/>
    <w:rsid w:val="00916248"/>
    <w:rsid w:val="009170C4"/>
    <w:rsid w:val="00917872"/>
    <w:rsid w:val="0092003A"/>
    <w:rsid w:val="0092233B"/>
    <w:rsid w:val="0092386C"/>
    <w:rsid w:val="00923FD1"/>
    <w:rsid w:val="0092452D"/>
    <w:rsid w:val="00925061"/>
    <w:rsid w:val="0092591B"/>
    <w:rsid w:val="00925B0E"/>
    <w:rsid w:val="00925F4E"/>
    <w:rsid w:val="00926ADF"/>
    <w:rsid w:val="00927366"/>
    <w:rsid w:val="00927B09"/>
    <w:rsid w:val="00927B58"/>
    <w:rsid w:val="00930573"/>
    <w:rsid w:val="00930A63"/>
    <w:rsid w:val="00931FF7"/>
    <w:rsid w:val="009321A0"/>
    <w:rsid w:val="00932C2A"/>
    <w:rsid w:val="0093365C"/>
    <w:rsid w:val="00933C3A"/>
    <w:rsid w:val="00934472"/>
    <w:rsid w:val="00934C4D"/>
    <w:rsid w:val="00934E3A"/>
    <w:rsid w:val="0093585A"/>
    <w:rsid w:val="00936848"/>
    <w:rsid w:val="009402C8"/>
    <w:rsid w:val="00940993"/>
    <w:rsid w:val="00940C54"/>
    <w:rsid w:val="00941BD3"/>
    <w:rsid w:val="00941F52"/>
    <w:rsid w:val="009447D8"/>
    <w:rsid w:val="00944C29"/>
    <w:rsid w:val="00944EC8"/>
    <w:rsid w:val="00945051"/>
    <w:rsid w:val="00945534"/>
    <w:rsid w:val="00945A6E"/>
    <w:rsid w:val="00946639"/>
    <w:rsid w:val="00946959"/>
    <w:rsid w:val="00946DE7"/>
    <w:rsid w:val="00946F83"/>
    <w:rsid w:val="00951AA9"/>
    <w:rsid w:val="0095255C"/>
    <w:rsid w:val="009527D4"/>
    <w:rsid w:val="009528FB"/>
    <w:rsid w:val="00952BE7"/>
    <w:rsid w:val="00952F2A"/>
    <w:rsid w:val="00953307"/>
    <w:rsid w:val="00953323"/>
    <w:rsid w:val="0095355E"/>
    <w:rsid w:val="00953EAC"/>
    <w:rsid w:val="009554A7"/>
    <w:rsid w:val="00955E2C"/>
    <w:rsid w:val="009561E5"/>
    <w:rsid w:val="00956539"/>
    <w:rsid w:val="00956A5B"/>
    <w:rsid w:val="009574A2"/>
    <w:rsid w:val="00957AF7"/>
    <w:rsid w:val="0096034D"/>
    <w:rsid w:val="00960BDB"/>
    <w:rsid w:val="00960CE5"/>
    <w:rsid w:val="009613F1"/>
    <w:rsid w:val="009615FB"/>
    <w:rsid w:val="00962306"/>
    <w:rsid w:val="009625CD"/>
    <w:rsid w:val="0096273C"/>
    <w:rsid w:val="00962A0A"/>
    <w:rsid w:val="00962AF0"/>
    <w:rsid w:val="0096456E"/>
    <w:rsid w:val="009647C3"/>
    <w:rsid w:val="00965672"/>
    <w:rsid w:val="0096580F"/>
    <w:rsid w:val="00965F1F"/>
    <w:rsid w:val="00966000"/>
    <w:rsid w:val="00966139"/>
    <w:rsid w:val="009664F5"/>
    <w:rsid w:val="00967828"/>
    <w:rsid w:val="00967BE2"/>
    <w:rsid w:val="0097054E"/>
    <w:rsid w:val="00971428"/>
    <w:rsid w:val="009718A8"/>
    <w:rsid w:val="00973A76"/>
    <w:rsid w:val="009744C4"/>
    <w:rsid w:val="00974596"/>
    <w:rsid w:val="00974778"/>
    <w:rsid w:val="00974D15"/>
    <w:rsid w:val="009753CC"/>
    <w:rsid w:val="009767AD"/>
    <w:rsid w:val="00976A6D"/>
    <w:rsid w:val="0098055B"/>
    <w:rsid w:val="00980614"/>
    <w:rsid w:val="00980B65"/>
    <w:rsid w:val="0098119B"/>
    <w:rsid w:val="009815CD"/>
    <w:rsid w:val="009817CF"/>
    <w:rsid w:val="0098202C"/>
    <w:rsid w:val="0098289E"/>
    <w:rsid w:val="0098313C"/>
    <w:rsid w:val="00983254"/>
    <w:rsid w:val="009836C7"/>
    <w:rsid w:val="009838F6"/>
    <w:rsid w:val="00983A84"/>
    <w:rsid w:val="00984325"/>
    <w:rsid w:val="00984D57"/>
    <w:rsid w:val="00984D5E"/>
    <w:rsid w:val="00984D66"/>
    <w:rsid w:val="00985242"/>
    <w:rsid w:val="009863D1"/>
    <w:rsid w:val="00987472"/>
    <w:rsid w:val="00987560"/>
    <w:rsid w:val="00987AC6"/>
    <w:rsid w:val="00987C59"/>
    <w:rsid w:val="00987DAB"/>
    <w:rsid w:val="00987EE9"/>
    <w:rsid w:val="00990B27"/>
    <w:rsid w:val="00990FA9"/>
    <w:rsid w:val="00991FEE"/>
    <w:rsid w:val="0099201F"/>
    <w:rsid w:val="0099259C"/>
    <w:rsid w:val="00993020"/>
    <w:rsid w:val="009932C8"/>
    <w:rsid w:val="009948BF"/>
    <w:rsid w:val="009956F1"/>
    <w:rsid w:val="009965C0"/>
    <w:rsid w:val="009975EE"/>
    <w:rsid w:val="00997F66"/>
    <w:rsid w:val="009A31D0"/>
    <w:rsid w:val="009A33C8"/>
    <w:rsid w:val="009A399F"/>
    <w:rsid w:val="009A3C51"/>
    <w:rsid w:val="009A3F96"/>
    <w:rsid w:val="009A5430"/>
    <w:rsid w:val="009A58F4"/>
    <w:rsid w:val="009A5F35"/>
    <w:rsid w:val="009A6A09"/>
    <w:rsid w:val="009B05AE"/>
    <w:rsid w:val="009B0EEB"/>
    <w:rsid w:val="009B1142"/>
    <w:rsid w:val="009B153A"/>
    <w:rsid w:val="009B1DCC"/>
    <w:rsid w:val="009B1E50"/>
    <w:rsid w:val="009B217B"/>
    <w:rsid w:val="009B316E"/>
    <w:rsid w:val="009B3D57"/>
    <w:rsid w:val="009B3F0E"/>
    <w:rsid w:val="009B4312"/>
    <w:rsid w:val="009B4424"/>
    <w:rsid w:val="009B4A9D"/>
    <w:rsid w:val="009B64A3"/>
    <w:rsid w:val="009B6547"/>
    <w:rsid w:val="009B6CBE"/>
    <w:rsid w:val="009B7897"/>
    <w:rsid w:val="009C0453"/>
    <w:rsid w:val="009C0D45"/>
    <w:rsid w:val="009C1212"/>
    <w:rsid w:val="009C24D0"/>
    <w:rsid w:val="009C2824"/>
    <w:rsid w:val="009C2889"/>
    <w:rsid w:val="009C2EFB"/>
    <w:rsid w:val="009C341D"/>
    <w:rsid w:val="009C35BD"/>
    <w:rsid w:val="009C394D"/>
    <w:rsid w:val="009C3EE3"/>
    <w:rsid w:val="009C4167"/>
    <w:rsid w:val="009C49D7"/>
    <w:rsid w:val="009C4DCB"/>
    <w:rsid w:val="009C6319"/>
    <w:rsid w:val="009C6A21"/>
    <w:rsid w:val="009C7182"/>
    <w:rsid w:val="009C73A2"/>
    <w:rsid w:val="009D0FB1"/>
    <w:rsid w:val="009D1385"/>
    <w:rsid w:val="009D153D"/>
    <w:rsid w:val="009D241A"/>
    <w:rsid w:val="009D2E60"/>
    <w:rsid w:val="009D316C"/>
    <w:rsid w:val="009D364E"/>
    <w:rsid w:val="009D4677"/>
    <w:rsid w:val="009D4E3C"/>
    <w:rsid w:val="009D5A5B"/>
    <w:rsid w:val="009D5CAE"/>
    <w:rsid w:val="009D7BB1"/>
    <w:rsid w:val="009E1C18"/>
    <w:rsid w:val="009E2819"/>
    <w:rsid w:val="009E3039"/>
    <w:rsid w:val="009E337E"/>
    <w:rsid w:val="009E33C0"/>
    <w:rsid w:val="009E34BC"/>
    <w:rsid w:val="009E368B"/>
    <w:rsid w:val="009E3CD1"/>
    <w:rsid w:val="009E3E2D"/>
    <w:rsid w:val="009E5F45"/>
    <w:rsid w:val="009E6656"/>
    <w:rsid w:val="009E6AF2"/>
    <w:rsid w:val="009E761C"/>
    <w:rsid w:val="009E79AE"/>
    <w:rsid w:val="009E7DA5"/>
    <w:rsid w:val="009F0303"/>
    <w:rsid w:val="009F040E"/>
    <w:rsid w:val="009F0CB8"/>
    <w:rsid w:val="009F1868"/>
    <w:rsid w:val="009F1F3F"/>
    <w:rsid w:val="009F2263"/>
    <w:rsid w:val="009F24B9"/>
    <w:rsid w:val="009F2B12"/>
    <w:rsid w:val="009F3D2F"/>
    <w:rsid w:val="009F3E72"/>
    <w:rsid w:val="009F500D"/>
    <w:rsid w:val="009F58A2"/>
    <w:rsid w:val="009F5F4A"/>
    <w:rsid w:val="009F6252"/>
    <w:rsid w:val="009F62ED"/>
    <w:rsid w:val="009F65B5"/>
    <w:rsid w:val="009F67A9"/>
    <w:rsid w:val="009F6B2E"/>
    <w:rsid w:val="00A000C1"/>
    <w:rsid w:val="00A002B6"/>
    <w:rsid w:val="00A005BD"/>
    <w:rsid w:val="00A00AD8"/>
    <w:rsid w:val="00A00C2D"/>
    <w:rsid w:val="00A00C66"/>
    <w:rsid w:val="00A00E18"/>
    <w:rsid w:val="00A01084"/>
    <w:rsid w:val="00A02381"/>
    <w:rsid w:val="00A0347A"/>
    <w:rsid w:val="00A038E2"/>
    <w:rsid w:val="00A0529B"/>
    <w:rsid w:val="00A05301"/>
    <w:rsid w:val="00A053C8"/>
    <w:rsid w:val="00A05DE3"/>
    <w:rsid w:val="00A06687"/>
    <w:rsid w:val="00A07907"/>
    <w:rsid w:val="00A07929"/>
    <w:rsid w:val="00A07BA7"/>
    <w:rsid w:val="00A10017"/>
    <w:rsid w:val="00A11FA8"/>
    <w:rsid w:val="00A12213"/>
    <w:rsid w:val="00A137B5"/>
    <w:rsid w:val="00A13DEC"/>
    <w:rsid w:val="00A14B1A"/>
    <w:rsid w:val="00A15779"/>
    <w:rsid w:val="00A15DAC"/>
    <w:rsid w:val="00A16741"/>
    <w:rsid w:val="00A16B2B"/>
    <w:rsid w:val="00A17465"/>
    <w:rsid w:val="00A174A4"/>
    <w:rsid w:val="00A202FA"/>
    <w:rsid w:val="00A21F17"/>
    <w:rsid w:val="00A220D1"/>
    <w:rsid w:val="00A22529"/>
    <w:rsid w:val="00A22DCA"/>
    <w:rsid w:val="00A23A06"/>
    <w:rsid w:val="00A23FA0"/>
    <w:rsid w:val="00A24010"/>
    <w:rsid w:val="00A24D47"/>
    <w:rsid w:val="00A262AF"/>
    <w:rsid w:val="00A26A87"/>
    <w:rsid w:val="00A27249"/>
    <w:rsid w:val="00A30ECC"/>
    <w:rsid w:val="00A31C6F"/>
    <w:rsid w:val="00A32580"/>
    <w:rsid w:val="00A32E6E"/>
    <w:rsid w:val="00A33BCD"/>
    <w:rsid w:val="00A3402D"/>
    <w:rsid w:val="00A3516B"/>
    <w:rsid w:val="00A36082"/>
    <w:rsid w:val="00A36E52"/>
    <w:rsid w:val="00A37162"/>
    <w:rsid w:val="00A401E1"/>
    <w:rsid w:val="00A40407"/>
    <w:rsid w:val="00A40546"/>
    <w:rsid w:val="00A411C2"/>
    <w:rsid w:val="00A423F2"/>
    <w:rsid w:val="00A4317D"/>
    <w:rsid w:val="00A43A0C"/>
    <w:rsid w:val="00A43A37"/>
    <w:rsid w:val="00A45370"/>
    <w:rsid w:val="00A46260"/>
    <w:rsid w:val="00A4633A"/>
    <w:rsid w:val="00A46C8A"/>
    <w:rsid w:val="00A47328"/>
    <w:rsid w:val="00A47B6C"/>
    <w:rsid w:val="00A50606"/>
    <w:rsid w:val="00A50608"/>
    <w:rsid w:val="00A51809"/>
    <w:rsid w:val="00A51E8E"/>
    <w:rsid w:val="00A5217D"/>
    <w:rsid w:val="00A52459"/>
    <w:rsid w:val="00A5330F"/>
    <w:rsid w:val="00A53866"/>
    <w:rsid w:val="00A54249"/>
    <w:rsid w:val="00A5468D"/>
    <w:rsid w:val="00A55A67"/>
    <w:rsid w:val="00A55C6A"/>
    <w:rsid w:val="00A56553"/>
    <w:rsid w:val="00A565AD"/>
    <w:rsid w:val="00A6052D"/>
    <w:rsid w:val="00A605BB"/>
    <w:rsid w:val="00A60703"/>
    <w:rsid w:val="00A60F83"/>
    <w:rsid w:val="00A611BB"/>
    <w:rsid w:val="00A6141C"/>
    <w:rsid w:val="00A622E7"/>
    <w:rsid w:val="00A625F8"/>
    <w:rsid w:val="00A6334D"/>
    <w:rsid w:val="00A637D5"/>
    <w:rsid w:val="00A63E0E"/>
    <w:rsid w:val="00A645B9"/>
    <w:rsid w:val="00A65106"/>
    <w:rsid w:val="00A658F9"/>
    <w:rsid w:val="00A65C94"/>
    <w:rsid w:val="00A67490"/>
    <w:rsid w:val="00A67E06"/>
    <w:rsid w:val="00A70751"/>
    <w:rsid w:val="00A708E5"/>
    <w:rsid w:val="00A70CB8"/>
    <w:rsid w:val="00A70E25"/>
    <w:rsid w:val="00A70E98"/>
    <w:rsid w:val="00A71018"/>
    <w:rsid w:val="00A715E3"/>
    <w:rsid w:val="00A729F8"/>
    <w:rsid w:val="00A742D4"/>
    <w:rsid w:val="00A7440D"/>
    <w:rsid w:val="00A75396"/>
    <w:rsid w:val="00A76592"/>
    <w:rsid w:val="00A76770"/>
    <w:rsid w:val="00A76E8C"/>
    <w:rsid w:val="00A8109B"/>
    <w:rsid w:val="00A8194F"/>
    <w:rsid w:val="00A82067"/>
    <w:rsid w:val="00A83951"/>
    <w:rsid w:val="00A83D09"/>
    <w:rsid w:val="00A8483D"/>
    <w:rsid w:val="00A8577F"/>
    <w:rsid w:val="00A86D54"/>
    <w:rsid w:val="00A8773E"/>
    <w:rsid w:val="00A8777A"/>
    <w:rsid w:val="00A9046F"/>
    <w:rsid w:val="00A90B67"/>
    <w:rsid w:val="00A90DA9"/>
    <w:rsid w:val="00A919EA"/>
    <w:rsid w:val="00A9384E"/>
    <w:rsid w:val="00A93A66"/>
    <w:rsid w:val="00A93B71"/>
    <w:rsid w:val="00A94D70"/>
    <w:rsid w:val="00A95055"/>
    <w:rsid w:val="00A953CA"/>
    <w:rsid w:val="00A95A60"/>
    <w:rsid w:val="00A96026"/>
    <w:rsid w:val="00A9697D"/>
    <w:rsid w:val="00A96B2A"/>
    <w:rsid w:val="00AA05BE"/>
    <w:rsid w:val="00AA1CD8"/>
    <w:rsid w:val="00AA24C9"/>
    <w:rsid w:val="00AA2639"/>
    <w:rsid w:val="00AA2AED"/>
    <w:rsid w:val="00AA3035"/>
    <w:rsid w:val="00AA3324"/>
    <w:rsid w:val="00AA3878"/>
    <w:rsid w:val="00AA38DF"/>
    <w:rsid w:val="00AA4F08"/>
    <w:rsid w:val="00AA536B"/>
    <w:rsid w:val="00AA688E"/>
    <w:rsid w:val="00AA68DC"/>
    <w:rsid w:val="00AA6B8D"/>
    <w:rsid w:val="00AA7961"/>
    <w:rsid w:val="00AA7984"/>
    <w:rsid w:val="00AA7AFB"/>
    <w:rsid w:val="00AA7C59"/>
    <w:rsid w:val="00AB00E2"/>
    <w:rsid w:val="00AB08B2"/>
    <w:rsid w:val="00AB0DAA"/>
    <w:rsid w:val="00AB4F39"/>
    <w:rsid w:val="00AB51D3"/>
    <w:rsid w:val="00AB536B"/>
    <w:rsid w:val="00AB5F8B"/>
    <w:rsid w:val="00AB71DD"/>
    <w:rsid w:val="00AB7E85"/>
    <w:rsid w:val="00AC10EE"/>
    <w:rsid w:val="00AC1180"/>
    <w:rsid w:val="00AC1A1A"/>
    <w:rsid w:val="00AC325F"/>
    <w:rsid w:val="00AC3392"/>
    <w:rsid w:val="00AC3827"/>
    <w:rsid w:val="00AC4643"/>
    <w:rsid w:val="00AC56CD"/>
    <w:rsid w:val="00AC606D"/>
    <w:rsid w:val="00AC6EDB"/>
    <w:rsid w:val="00AC7E16"/>
    <w:rsid w:val="00AD016A"/>
    <w:rsid w:val="00AD16BA"/>
    <w:rsid w:val="00AD1B3C"/>
    <w:rsid w:val="00AD2780"/>
    <w:rsid w:val="00AD3CE5"/>
    <w:rsid w:val="00AD44EC"/>
    <w:rsid w:val="00AD515E"/>
    <w:rsid w:val="00AD533F"/>
    <w:rsid w:val="00AD5BFF"/>
    <w:rsid w:val="00AD5C90"/>
    <w:rsid w:val="00AD743F"/>
    <w:rsid w:val="00AD7C31"/>
    <w:rsid w:val="00AD7F72"/>
    <w:rsid w:val="00AE023A"/>
    <w:rsid w:val="00AE0C7C"/>
    <w:rsid w:val="00AE1119"/>
    <w:rsid w:val="00AE12FB"/>
    <w:rsid w:val="00AE2151"/>
    <w:rsid w:val="00AE4182"/>
    <w:rsid w:val="00AE5210"/>
    <w:rsid w:val="00AE5606"/>
    <w:rsid w:val="00AE6760"/>
    <w:rsid w:val="00AE71BB"/>
    <w:rsid w:val="00AE7A4D"/>
    <w:rsid w:val="00AF0598"/>
    <w:rsid w:val="00AF0A8B"/>
    <w:rsid w:val="00AF0F75"/>
    <w:rsid w:val="00AF2776"/>
    <w:rsid w:val="00AF301F"/>
    <w:rsid w:val="00AF325E"/>
    <w:rsid w:val="00AF44B0"/>
    <w:rsid w:val="00AF4B7C"/>
    <w:rsid w:val="00AF51F7"/>
    <w:rsid w:val="00AF67F9"/>
    <w:rsid w:val="00B024C6"/>
    <w:rsid w:val="00B027EC"/>
    <w:rsid w:val="00B02E99"/>
    <w:rsid w:val="00B03C32"/>
    <w:rsid w:val="00B03D45"/>
    <w:rsid w:val="00B040AA"/>
    <w:rsid w:val="00B04261"/>
    <w:rsid w:val="00B05284"/>
    <w:rsid w:val="00B0563E"/>
    <w:rsid w:val="00B05FF4"/>
    <w:rsid w:val="00B0626A"/>
    <w:rsid w:val="00B07701"/>
    <w:rsid w:val="00B079F5"/>
    <w:rsid w:val="00B07AD2"/>
    <w:rsid w:val="00B10423"/>
    <w:rsid w:val="00B1080A"/>
    <w:rsid w:val="00B11644"/>
    <w:rsid w:val="00B11B64"/>
    <w:rsid w:val="00B12126"/>
    <w:rsid w:val="00B1246A"/>
    <w:rsid w:val="00B125F9"/>
    <w:rsid w:val="00B133DF"/>
    <w:rsid w:val="00B1385E"/>
    <w:rsid w:val="00B14321"/>
    <w:rsid w:val="00B1447D"/>
    <w:rsid w:val="00B14995"/>
    <w:rsid w:val="00B14F98"/>
    <w:rsid w:val="00B158C3"/>
    <w:rsid w:val="00B1702C"/>
    <w:rsid w:val="00B172DD"/>
    <w:rsid w:val="00B17DAC"/>
    <w:rsid w:val="00B20A07"/>
    <w:rsid w:val="00B2163D"/>
    <w:rsid w:val="00B2268F"/>
    <w:rsid w:val="00B2363C"/>
    <w:rsid w:val="00B237C0"/>
    <w:rsid w:val="00B2468B"/>
    <w:rsid w:val="00B24B0D"/>
    <w:rsid w:val="00B25A7B"/>
    <w:rsid w:val="00B25D63"/>
    <w:rsid w:val="00B261DA"/>
    <w:rsid w:val="00B27519"/>
    <w:rsid w:val="00B27761"/>
    <w:rsid w:val="00B27EA9"/>
    <w:rsid w:val="00B30150"/>
    <w:rsid w:val="00B3048B"/>
    <w:rsid w:val="00B305A6"/>
    <w:rsid w:val="00B30736"/>
    <w:rsid w:val="00B310D2"/>
    <w:rsid w:val="00B32320"/>
    <w:rsid w:val="00B326CD"/>
    <w:rsid w:val="00B339A4"/>
    <w:rsid w:val="00B34C57"/>
    <w:rsid w:val="00B34C96"/>
    <w:rsid w:val="00B34E8F"/>
    <w:rsid w:val="00B352BF"/>
    <w:rsid w:val="00B353E6"/>
    <w:rsid w:val="00B36663"/>
    <w:rsid w:val="00B36A98"/>
    <w:rsid w:val="00B3771E"/>
    <w:rsid w:val="00B377A3"/>
    <w:rsid w:val="00B405EF"/>
    <w:rsid w:val="00B40A04"/>
    <w:rsid w:val="00B41C99"/>
    <w:rsid w:val="00B42633"/>
    <w:rsid w:val="00B42A7F"/>
    <w:rsid w:val="00B42B1E"/>
    <w:rsid w:val="00B4324A"/>
    <w:rsid w:val="00B443F2"/>
    <w:rsid w:val="00B463F4"/>
    <w:rsid w:val="00B4656C"/>
    <w:rsid w:val="00B470C7"/>
    <w:rsid w:val="00B475BB"/>
    <w:rsid w:val="00B50289"/>
    <w:rsid w:val="00B511C2"/>
    <w:rsid w:val="00B51AE4"/>
    <w:rsid w:val="00B51D65"/>
    <w:rsid w:val="00B51FCA"/>
    <w:rsid w:val="00B5263E"/>
    <w:rsid w:val="00B52651"/>
    <w:rsid w:val="00B52CF8"/>
    <w:rsid w:val="00B53094"/>
    <w:rsid w:val="00B5359F"/>
    <w:rsid w:val="00B53EFB"/>
    <w:rsid w:val="00B54745"/>
    <w:rsid w:val="00B555B7"/>
    <w:rsid w:val="00B56863"/>
    <w:rsid w:val="00B56D40"/>
    <w:rsid w:val="00B56F49"/>
    <w:rsid w:val="00B604C5"/>
    <w:rsid w:val="00B638A0"/>
    <w:rsid w:val="00B642C4"/>
    <w:rsid w:val="00B64751"/>
    <w:rsid w:val="00B700A1"/>
    <w:rsid w:val="00B70864"/>
    <w:rsid w:val="00B71B35"/>
    <w:rsid w:val="00B72477"/>
    <w:rsid w:val="00B72FD6"/>
    <w:rsid w:val="00B74744"/>
    <w:rsid w:val="00B75C3D"/>
    <w:rsid w:val="00B75E04"/>
    <w:rsid w:val="00B76311"/>
    <w:rsid w:val="00B7742D"/>
    <w:rsid w:val="00B77DE9"/>
    <w:rsid w:val="00B77F16"/>
    <w:rsid w:val="00B803C7"/>
    <w:rsid w:val="00B82024"/>
    <w:rsid w:val="00B8228F"/>
    <w:rsid w:val="00B82490"/>
    <w:rsid w:val="00B83AE2"/>
    <w:rsid w:val="00B83BC7"/>
    <w:rsid w:val="00B83DC0"/>
    <w:rsid w:val="00B85720"/>
    <w:rsid w:val="00B86E3D"/>
    <w:rsid w:val="00B87437"/>
    <w:rsid w:val="00B876DC"/>
    <w:rsid w:val="00B8774E"/>
    <w:rsid w:val="00B906BB"/>
    <w:rsid w:val="00B90B34"/>
    <w:rsid w:val="00B90DE2"/>
    <w:rsid w:val="00B912A8"/>
    <w:rsid w:val="00B9250E"/>
    <w:rsid w:val="00B92781"/>
    <w:rsid w:val="00B928CB"/>
    <w:rsid w:val="00B92F70"/>
    <w:rsid w:val="00B92FA1"/>
    <w:rsid w:val="00B93183"/>
    <w:rsid w:val="00B9398D"/>
    <w:rsid w:val="00B948D4"/>
    <w:rsid w:val="00B94CBF"/>
    <w:rsid w:val="00B95153"/>
    <w:rsid w:val="00B951A0"/>
    <w:rsid w:val="00B951E1"/>
    <w:rsid w:val="00B956AF"/>
    <w:rsid w:val="00B95B04"/>
    <w:rsid w:val="00B95D5C"/>
    <w:rsid w:val="00B960E6"/>
    <w:rsid w:val="00B969D9"/>
    <w:rsid w:val="00B96D87"/>
    <w:rsid w:val="00B96F1B"/>
    <w:rsid w:val="00B972C5"/>
    <w:rsid w:val="00B97504"/>
    <w:rsid w:val="00B977F2"/>
    <w:rsid w:val="00BA0100"/>
    <w:rsid w:val="00BA177A"/>
    <w:rsid w:val="00BA2306"/>
    <w:rsid w:val="00BA24D9"/>
    <w:rsid w:val="00BA2F36"/>
    <w:rsid w:val="00BA2F68"/>
    <w:rsid w:val="00BA2FD3"/>
    <w:rsid w:val="00BA3AF5"/>
    <w:rsid w:val="00BA42ED"/>
    <w:rsid w:val="00BA45BE"/>
    <w:rsid w:val="00BA4A4F"/>
    <w:rsid w:val="00BA4E15"/>
    <w:rsid w:val="00BA5582"/>
    <w:rsid w:val="00BA624A"/>
    <w:rsid w:val="00BA75E8"/>
    <w:rsid w:val="00BB1B31"/>
    <w:rsid w:val="00BB40A9"/>
    <w:rsid w:val="00BB4B9B"/>
    <w:rsid w:val="00BB53CC"/>
    <w:rsid w:val="00BB5F47"/>
    <w:rsid w:val="00BB61A0"/>
    <w:rsid w:val="00BB724D"/>
    <w:rsid w:val="00BB77DA"/>
    <w:rsid w:val="00BB787E"/>
    <w:rsid w:val="00BB7AE2"/>
    <w:rsid w:val="00BC06EF"/>
    <w:rsid w:val="00BC0DF0"/>
    <w:rsid w:val="00BC0E77"/>
    <w:rsid w:val="00BC1469"/>
    <w:rsid w:val="00BC18E7"/>
    <w:rsid w:val="00BC24D7"/>
    <w:rsid w:val="00BC29BD"/>
    <w:rsid w:val="00BC2A36"/>
    <w:rsid w:val="00BC304E"/>
    <w:rsid w:val="00BC3091"/>
    <w:rsid w:val="00BC4446"/>
    <w:rsid w:val="00BC48BE"/>
    <w:rsid w:val="00BC5977"/>
    <w:rsid w:val="00BC5BF2"/>
    <w:rsid w:val="00BC7032"/>
    <w:rsid w:val="00BC7A27"/>
    <w:rsid w:val="00BC7CA3"/>
    <w:rsid w:val="00BD00B3"/>
    <w:rsid w:val="00BD028F"/>
    <w:rsid w:val="00BD04AD"/>
    <w:rsid w:val="00BD0BA6"/>
    <w:rsid w:val="00BD0CE9"/>
    <w:rsid w:val="00BD16D6"/>
    <w:rsid w:val="00BD182F"/>
    <w:rsid w:val="00BD1E0E"/>
    <w:rsid w:val="00BD2468"/>
    <w:rsid w:val="00BD27C8"/>
    <w:rsid w:val="00BD2C2E"/>
    <w:rsid w:val="00BD3BD0"/>
    <w:rsid w:val="00BD47C5"/>
    <w:rsid w:val="00BD483C"/>
    <w:rsid w:val="00BD4D7C"/>
    <w:rsid w:val="00BD51D8"/>
    <w:rsid w:val="00BD62F5"/>
    <w:rsid w:val="00BD6E0B"/>
    <w:rsid w:val="00BE0A19"/>
    <w:rsid w:val="00BE1332"/>
    <w:rsid w:val="00BE1516"/>
    <w:rsid w:val="00BE1E9F"/>
    <w:rsid w:val="00BE21EA"/>
    <w:rsid w:val="00BE2E3D"/>
    <w:rsid w:val="00BE3847"/>
    <w:rsid w:val="00BE3CCA"/>
    <w:rsid w:val="00BE49B8"/>
    <w:rsid w:val="00BE56A2"/>
    <w:rsid w:val="00BE63E6"/>
    <w:rsid w:val="00BE6637"/>
    <w:rsid w:val="00BE6724"/>
    <w:rsid w:val="00BE6744"/>
    <w:rsid w:val="00BE705B"/>
    <w:rsid w:val="00BE713E"/>
    <w:rsid w:val="00BF06CB"/>
    <w:rsid w:val="00BF14CC"/>
    <w:rsid w:val="00BF1DC8"/>
    <w:rsid w:val="00BF1E0A"/>
    <w:rsid w:val="00BF1F1F"/>
    <w:rsid w:val="00BF22E8"/>
    <w:rsid w:val="00BF247B"/>
    <w:rsid w:val="00BF2C89"/>
    <w:rsid w:val="00BF3988"/>
    <w:rsid w:val="00BF3D67"/>
    <w:rsid w:val="00BF40CE"/>
    <w:rsid w:val="00BF419A"/>
    <w:rsid w:val="00BF485B"/>
    <w:rsid w:val="00BF4A75"/>
    <w:rsid w:val="00BF5B04"/>
    <w:rsid w:val="00BF5B11"/>
    <w:rsid w:val="00BF5FCE"/>
    <w:rsid w:val="00BF6184"/>
    <w:rsid w:val="00BF6F59"/>
    <w:rsid w:val="00C00519"/>
    <w:rsid w:val="00C005E8"/>
    <w:rsid w:val="00C00687"/>
    <w:rsid w:val="00C0079D"/>
    <w:rsid w:val="00C00F81"/>
    <w:rsid w:val="00C0179A"/>
    <w:rsid w:val="00C0187C"/>
    <w:rsid w:val="00C01C48"/>
    <w:rsid w:val="00C01D62"/>
    <w:rsid w:val="00C027C8"/>
    <w:rsid w:val="00C02EEF"/>
    <w:rsid w:val="00C03D34"/>
    <w:rsid w:val="00C03D64"/>
    <w:rsid w:val="00C04596"/>
    <w:rsid w:val="00C0559F"/>
    <w:rsid w:val="00C056A5"/>
    <w:rsid w:val="00C05EA7"/>
    <w:rsid w:val="00C0611F"/>
    <w:rsid w:val="00C06D81"/>
    <w:rsid w:val="00C075A5"/>
    <w:rsid w:val="00C114FC"/>
    <w:rsid w:val="00C12D22"/>
    <w:rsid w:val="00C13070"/>
    <w:rsid w:val="00C135BB"/>
    <w:rsid w:val="00C13C84"/>
    <w:rsid w:val="00C1452A"/>
    <w:rsid w:val="00C14929"/>
    <w:rsid w:val="00C14A5F"/>
    <w:rsid w:val="00C14DFC"/>
    <w:rsid w:val="00C14F05"/>
    <w:rsid w:val="00C16D86"/>
    <w:rsid w:val="00C16ECF"/>
    <w:rsid w:val="00C2000A"/>
    <w:rsid w:val="00C20988"/>
    <w:rsid w:val="00C20A63"/>
    <w:rsid w:val="00C214D9"/>
    <w:rsid w:val="00C21945"/>
    <w:rsid w:val="00C225AE"/>
    <w:rsid w:val="00C23024"/>
    <w:rsid w:val="00C23447"/>
    <w:rsid w:val="00C239A0"/>
    <w:rsid w:val="00C24449"/>
    <w:rsid w:val="00C2543F"/>
    <w:rsid w:val="00C257E2"/>
    <w:rsid w:val="00C2603A"/>
    <w:rsid w:val="00C30786"/>
    <w:rsid w:val="00C3305F"/>
    <w:rsid w:val="00C34638"/>
    <w:rsid w:val="00C35445"/>
    <w:rsid w:val="00C355CD"/>
    <w:rsid w:val="00C35C21"/>
    <w:rsid w:val="00C35FB5"/>
    <w:rsid w:val="00C37E8F"/>
    <w:rsid w:val="00C37F1E"/>
    <w:rsid w:val="00C40568"/>
    <w:rsid w:val="00C4071F"/>
    <w:rsid w:val="00C407AC"/>
    <w:rsid w:val="00C41604"/>
    <w:rsid w:val="00C42AF8"/>
    <w:rsid w:val="00C42BAC"/>
    <w:rsid w:val="00C43454"/>
    <w:rsid w:val="00C436E3"/>
    <w:rsid w:val="00C43A6A"/>
    <w:rsid w:val="00C43E79"/>
    <w:rsid w:val="00C4534A"/>
    <w:rsid w:val="00C46B9F"/>
    <w:rsid w:val="00C46F0B"/>
    <w:rsid w:val="00C5032A"/>
    <w:rsid w:val="00C5046D"/>
    <w:rsid w:val="00C51EC6"/>
    <w:rsid w:val="00C53119"/>
    <w:rsid w:val="00C53896"/>
    <w:rsid w:val="00C53CD7"/>
    <w:rsid w:val="00C54731"/>
    <w:rsid w:val="00C57DAC"/>
    <w:rsid w:val="00C601AF"/>
    <w:rsid w:val="00C60EE5"/>
    <w:rsid w:val="00C61DBD"/>
    <w:rsid w:val="00C62128"/>
    <w:rsid w:val="00C6321F"/>
    <w:rsid w:val="00C6394B"/>
    <w:rsid w:val="00C63B3E"/>
    <w:rsid w:val="00C63C13"/>
    <w:rsid w:val="00C653EF"/>
    <w:rsid w:val="00C65AA2"/>
    <w:rsid w:val="00C660A3"/>
    <w:rsid w:val="00C6617A"/>
    <w:rsid w:val="00C6652D"/>
    <w:rsid w:val="00C66ABD"/>
    <w:rsid w:val="00C67C99"/>
    <w:rsid w:val="00C71051"/>
    <w:rsid w:val="00C7203B"/>
    <w:rsid w:val="00C72B59"/>
    <w:rsid w:val="00C7372E"/>
    <w:rsid w:val="00C745E9"/>
    <w:rsid w:val="00C74DCE"/>
    <w:rsid w:val="00C803FF"/>
    <w:rsid w:val="00C82160"/>
    <w:rsid w:val="00C82436"/>
    <w:rsid w:val="00C83B6E"/>
    <w:rsid w:val="00C848B2"/>
    <w:rsid w:val="00C84F56"/>
    <w:rsid w:val="00C85817"/>
    <w:rsid w:val="00C86C1F"/>
    <w:rsid w:val="00C86CE2"/>
    <w:rsid w:val="00C87380"/>
    <w:rsid w:val="00C875A7"/>
    <w:rsid w:val="00C90043"/>
    <w:rsid w:val="00C901DD"/>
    <w:rsid w:val="00C90BF5"/>
    <w:rsid w:val="00C9198E"/>
    <w:rsid w:val="00C92F28"/>
    <w:rsid w:val="00C9465E"/>
    <w:rsid w:val="00C94BAB"/>
    <w:rsid w:val="00C97060"/>
    <w:rsid w:val="00C9721F"/>
    <w:rsid w:val="00CA14D9"/>
    <w:rsid w:val="00CA18BD"/>
    <w:rsid w:val="00CA22F2"/>
    <w:rsid w:val="00CA3318"/>
    <w:rsid w:val="00CA3559"/>
    <w:rsid w:val="00CA38A3"/>
    <w:rsid w:val="00CA3F99"/>
    <w:rsid w:val="00CA506D"/>
    <w:rsid w:val="00CA5B7F"/>
    <w:rsid w:val="00CA5CBC"/>
    <w:rsid w:val="00CA67CA"/>
    <w:rsid w:val="00CA6E52"/>
    <w:rsid w:val="00CA7CDE"/>
    <w:rsid w:val="00CB03BF"/>
    <w:rsid w:val="00CB081F"/>
    <w:rsid w:val="00CB0986"/>
    <w:rsid w:val="00CB0F1D"/>
    <w:rsid w:val="00CB20DA"/>
    <w:rsid w:val="00CB22B5"/>
    <w:rsid w:val="00CB2A27"/>
    <w:rsid w:val="00CB3379"/>
    <w:rsid w:val="00CB35EE"/>
    <w:rsid w:val="00CB5333"/>
    <w:rsid w:val="00CB5436"/>
    <w:rsid w:val="00CB5D72"/>
    <w:rsid w:val="00CB5FC7"/>
    <w:rsid w:val="00CC05A0"/>
    <w:rsid w:val="00CC0B80"/>
    <w:rsid w:val="00CC18CB"/>
    <w:rsid w:val="00CC1BAF"/>
    <w:rsid w:val="00CC244D"/>
    <w:rsid w:val="00CC28CC"/>
    <w:rsid w:val="00CC2C69"/>
    <w:rsid w:val="00CC325D"/>
    <w:rsid w:val="00CC384F"/>
    <w:rsid w:val="00CC4796"/>
    <w:rsid w:val="00CC51AF"/>
    <w:rsid w:val="00CC5B41"/>
    <w:rsid w:val="00CC5D24"/>
    <w:rsid w:val="00CD067E"/>
    <w:rsid w:val="00CD1B25"/>
    <w:rsid w:val="00CD244B"/>
    <w:rsid w:val="00CD2643"/>
    <w:rsid w:val="00CD2972"/>
    <w:rsid w:val="00CD2C61"/>
    <w:rsid w:val="00CD350A"/>
    <w:rsid w:val="00CD4B8F"/>
    <w:rsid w:val="00CD5C20"/>
    <w:rsid w:val="00CD5EB9"/>
    <w:rsid w:val="00CD5EC9"/>
    <w:rsid w:val="00CD605F"/>
    <w:rsid w:val="00CD62EA"/>
    <w:rsid w:val="00CD651C"/>
    <w:rsid w:val="00CD6CBB"/>
    <w:rsid w:val="00CD7082"/>
    <w:rsid w:val="00CD7179"/>
    <w:rsid w:val="00CE0217"/>
    <w:rsid w:val="00CE14C9"/>
    <w:rsid w:val="00CE2021"/>
    <w:rsid w:val="00CE2FAA"/>
    <w:rsid w:val="00CE3355"/>
    <w:rsid w:val="00CE42E2"/>
    <w:rsid w:val="00CE582C"/>
    <w:rsid w:val="00CE58AB"/>
    <w:rsid w:val="00CE5AD7"/>
    <w:rsid w:val="00CE6B62"/>
    <w:rsid w:val="00CE6FE8"/>
    <w:rsid w:val="00CE76F9"/>
    <w:rsid w:val="00CE7ACC"/>
    <w:rsid w:val="00CE7F01"/>
    <w:rsid w:val="00CF0322"/>
    <w:rsid w:val="00CF0D05"/>
    <w:rsid w:val="00CF1478"/>
    <w:rsid w:val="00CF251A"/>
    <w:rsid w:val="00CF3103"/>
    <w:rsid w:val="00CF3461"/>
    <w:rsid w:val="00CF3FAE"/>
    <w:rsid w:val="00CF4385"/>
    <w:rsid w:val="00CF43EF"/>
    <w:rsid w:val="00CF568D"/>
    <w:rsid w:val="00CF68D1"/>
    <w:rsid w:val="00CF7ABC"/>
    <w:rsid w:val="00CF7B0B"/>
    <w:rsid w:val="00D00D55"/>
    <w:rsid w:val="00D00DD1"/>
    <w:rsid w:val="00D01140"/>
    <w:rsid w:val="00D01575"/>
    <w:rsid w:val="00D01633"/>
    <w:rsid w:val="00D016C2"/>
    <w:rsid w:val="00D01F5C"/>
    <w:rsid w:val="00D02473"/>
    <w:rsid w:val="00D02884"/>
    <w:rsid w:val="00D02F9B"/>
    <w:rsid w:val="00D0300F"/>
    <w:rsid w:val="00D03842"/>
    <w:rsid w:val="00D0416C"/>
    <w:rsid w:val="00D0570F"/>
    <w:rsid w:val="00D058A4"/>
    <w:rsid w:val="00D06665"/>
    <w:rsid w:val="00D06747"/>
    <w:rsid w:val="00D06859"/>
    <w:rsid w:val="00D10D06"/>
    <w:rsid w:val="00D10DAB"/>
    <w:rsid w:val="00D118EE"/>
    <w:rsid w:val="00D12529"/>
    <w:rsid w:val="00D1259E"/>
    <w:rsid w:val="00D12FA9"/>
    <w:rsid w:val="00D1327F"/>
    <w:rsid w:val="00D13861"/>
    <w:rsid w:val="00D139B9"/>
    <w:rsid w:val="00D154BC"/>
    <w:rsid w:val="00D15E43"/>
    <w:rsid w:val="00D16894"/>
    <w:rsid w:val="00D20367"/>
    <w:rsid w:val="00D20E8E"/>
    <w:rsid w:val="00D217A1"/>
    <w:rsid w:val="00D21903"/>
    <w:rsid w:val="00D235C2"/>
    <w:rsid w:val="00D250E2"/>
    <w:rsid w:val="00D25D0A"/>
    <w:rsid w:val="00D25E38"/>
    <w:rsid w:val="00D27149"/>
    <w:rsid w:val="00D27EF1"/>
    <w:rsid w:val="00D27F1D"/>
    <w:rsid w:val="00D30065"/>
    <w:rsid w:val="00D30ACF"/>
    <w:rsid w:val="00D31CC5"/>
    <w:rsid w:val="00D31D5E"/>
    <w:rsid w:val="00D327B8"/>
    <w:rsid w:val="00D35A40"/>
    <w:rsid w:val="00D36268"/>
    <w:rsid w:val="00D36959"/>
    <w:rsid w:val="00D36B04"/>
    <w:rsid w:val="00D36B15"/>
    <w:rsid w:val="00D401CB"/>
    <w:rsid w:val="00D405FC"/>
    <w:rsid w:val="00D409AE"/>
    <w:rsid w:val="00D4114D"/>
    <w:rsid w:val="00D42A97"/>
    <w:rsid w:val="00D42DA1"/>
    <w:rsid w:val="00D42F4C"/>
    <w:rsid w:val="00D42F81"/>
    <w:rsid w:val="00D42F87"/>
    <w:rsid w:val="00D45F20"/>
    <w:rsid w:val="00D46E06"/>
    <w:rsid w:val="00D47863"/>
    <w:rsid w:val="00D505BA"/>
    <w:rsid w:val="00D50EBD"/>
    <w:rsid w:val="00D51A39"/>
    <w:rsid w:val="00D51BC0"/>
    <w:rsid w:val="00D51DEA"/>
    <w:rsid w:val="00D55A4B"/>
    <w:rsid w:val="00D55AD9"/>
    <w:rsid w:val="00D60362"/>
    <w:rsid w:val="00D60A37"/>
    <w:rsid w:val="00D6191E"/>
    <w:rsid w:val="00D62417"/>
    <w:rsid w:val="00D62493"/>
    <w:rsid w:val="00D6257A"/>
    <w:rsid w:val="00D62697"/>
    <w:rsid w:val="00D62917"/>
    <w:rsid w:val="00D639E3"/>
    <w:rsid w:val="00D640CB"/>
    <w:rsid w:val="00D65483"/>
    <w:rsid w:val="00D6648B"/>
    <w:rsid w:val="00D66811"/>
    <w:rsid w:val="00D67001"/>
    <w:rsid w:val="00D670CB"/>
    <w:rsid w:val="00D67F45"/>
    <w:rsid w:val="00D70045"/>
    <w:rsid w:val="00D70455"/>
    <w:rsid w:val="00D7070E"/>
    <w:rsid w:val="00D722C3"/>
    <w:rsid w:val="00D72554"/>
    <w:rsid w:val="00D73174"/>
    <w:rsid w:val="00D739CC"/>
    <w:rsid w:val="00D73F00"/>
    <w:rsid w:val="00D74144"/>
    <w:rsid w:val="00D742AF"/>
    <w:rsid w:val="00D747C3"/>
    <w:rsid w:val="00D759E9"/>
    <w:rsid w:val="00D766D3"/>
    <w:rsid w:val="00D76890"/>
    <w:rsid w:val="00D76EFC"/>
    <w:rsid w:val="00D77E15"/>
    <w:rsid w:val="00D805CE"/>
    <w:rsid w:val="00D80CCB"/>
    <w:rsid w:val="00D81641"/>
    <w:rsid w:val="00D81C3C"/>
    <w:rsid w:val="00D8315F"/>
    <w:rsid w:val="00D83627"/>
    <w:rsid w:val="00D84210"/>
    <w:rsid w:val="00D85028"/>
    <w:rsid w:val="00D853C4"/>
    <w:rsid w:val="00D8568E"/>
    <w:rsid w:val="00D85F5F"/>
    <w:rsid w:val="00D860DA"/>
    <w:rsid w:val="00D90B9D"/>
    <w:rsid w:val="00D90FD0"/>
    <w:rsid w:val="00D91476"/>
    <w:rsid w:val="00D91665"/>
    <w:rsid w:val="00D91EE3"/>
    <w:rsid w:val="00D92EDE"/>
    <w:rsid w:val="00D94373"/>
    <w:rsid w:val="00D9478A"/>
    <w:rsid w:val="00D947C0"/>
    <w:rsid w:val="00D9493B"/>
    <w:rsid w:val="00D952C7"/>
    <w:rsid w:val="00D957A2"/>
    <w:rsid w:val="00D95B01"/>
    <w:rsid w:val="00D95E66"/>
    <w:rsid w:val="00D973D8"/>
    <w:rsid w:val="00D9793E"/>
    <w:rsid w:val="00D97D0E"/>
    <w:rsid w:val="00DA06A8"/>
    <w:rsid w:val="00DA07AD"/>
    <w:rsid w:val="00DA086D"/>
    <w:rsid w:val="00DA12EE"/>
    <w:rsid w:val="00DA2E40"/>
    <w:rsid w:val="00DA33AF"/>
    <w:rsid w:val="00DA33CD"/>
    <w:rsid w:val="00DA352E"/>
    <w:rsid w:val="00DA4153"/>
    <w:rsid w:val="00DA4ADC"/>
    <w:rsid w:val="00DA5701"/>
    <w:rsid w:val="00DA641E"/>
    <w:rsid w:val="00DA6455"/>
    <w:rsid w:val="00DB007C"/>
    <w:rsid w:val="00DB1D6C"/>
    <w:rsid w:val="00DB2709"/>
    <w:rsid w:val="00DB2A54"/>
    <w:rsid w:val="00DB334B"/>
    <w:rsid w:val="00DB47B7"/>
    <w:rsid w:val="00DB5DF5"/>
    <w:rsid w:val="00DB677E"/>
    <w:rsid w:val="00DB69B3"/>
    <w:rsid w:val="00DB6A24"/>
    <w:rsid w:val="00DB7DD0"/>
    <w:rsid w:val="00DC0541"/>
    <w:rsid w:val="00DC09CC"/>
    <w:rsid w:val="00DC11B2"/>
    <w:rsid w:val="00DC1B70"/>
    <w:rsid w:val="00DC1D8D"/>
    <w:rsid w:val="00DC3AAC"/>
    <w:rsid w:val="00DC4276"/>
    <w:rsid w:val="00DC4286"/>
    <w:rsid w:val="00DD12E7"/>
    <w:rsid w:val="00DD2701"/>
    <w:rsid w:val="00DD3C4C"/>
    <w:rsid w:val="00DD4065"/>
    <w:rsid w:val="00DD4BFF"/>
    <w:rsid w:val="00DD4C85"/>
    <w:rsid w:val="00DD57EF"/>
    <w:rsid w:val="00DD5B52"/>
    <w:rsid w:val="00DD71E6"/>
    <w:rsid w:val="00DE03B7"/>
    <w:rsid w:val="00DE08D1"/>
    <w:rsid w:val="00DE16FE"/>
    <w:rsid w:val="00DE27EC"/>
    <w:rsid w:val="00DE2BD8"/>
    <w:rsid w:val="00DE3710"/>
    <w:rsid w:val="00DE39E2"/>
    <w:rsid w:val="00DE3DF5"/>
    <w:rsid w:val="00DE3E0D"/>
    <w:rsid w:val="00DE3E1B"/>
    <w:rsid w:val="00DE3E51"/>
    <w:rsid w:val="00DE6063"/>
    <w:rsid w:val="00DE642A"/>
    <w:rsid w:val="00DE70C5"/>
    <w:rsid w:val="00DE7621"/>
    <w:rsid w:val="00DF0494"/>
    <w:rsid w:val="00DF0D54"/>
    <w:rsid w:val="00DF2C1B"/>
    <w:rsid w:val="00DF2DB8"/>
    <w:rsid w:val="00DF3093"/>
    <w:rsid w:val="00DF39BB"/>
    <w:rsid w:val="00DF6940"/>
    <w:rsid w:val="00DF7583"/>
    <w:rsid w:val="00DF77DE"/>
    <w:rsid w:val="00DF77F2"/>
    <w:rsid w:val="00E00025"/>
    <w:rsid w:val="00E020FC"/>
    <w:rsid w:val="00E03764"/>
    <w:rsid w:val="00E03C57"/>
    <w:rsid w:val="00E041AF"/>
    <w:rsid w:val="00E05195"/>
    <w:rsid w:val="00E05678"/>
    <w:rsid w:val="00E06DAA"/>
    <w:rsid w:val="00E06FE4"/>
    <w:rsid w:val="00E07186"/>
    <w:rsid w:val="00E07E89"/>
    <w:rsid w:val="00E101C2"/>
    <w:rsid w:val="00E10412"/>
    <w:rsid w:val="00E10505"/>
    <w:rsid w:val="00E113E5"/>
    <w:rsid w:val="00E1209D"/>
    <w:rsid w:val="00E12D52"/>
    <w:rsid w:val="00E13012"/>
    <w:rsid w:val="00E13193"/>
    <w:rsid w:val="00E13D58"/>
    <w:rsid w:val="00E1439C"/>
    <w:rsid w:val="00E14F83"/>
    <w:rsid w:val="00E15729"/>
    <w:rsid w:val="00E17151"/>
    <w:rsid w:val="00E17FA4"/>
    <w:rsid w:val="00E20A3B"/>
    <w:rsid w:val="00E215C7"/>
    <w:rsid w:val="00E22076"/>
    <w:rsid w:val="00E222F1"/>
    <w:rsid w:val="00E2315A"/>
    <w:rsid w:val="00E23411"/>
    <w:rsid w:val="00E23DF1"/>
    <w:rsid w:val="00E240A6"/>
    <w:rsid w:val="00E24707"/>
    <w:rsid w:val="00E25B5F"/>
    <w:rsid w:val="00E30036"/>
    <w:rsid w:val="00E318B8"/>
    <w:rsid w:val="00E319DD"/>
    <w:rsid w:val="00E3241F"/>
    <w:rsid w:val="00E33140"/>
    <w:rsid w:val="00E3410E"/>
    <w:rsid w:val="00E3483F"/>
    <w:rsid w:val="00E349D4"/>
    <w:rsid w:val="00E356DE"/>
    <w:rsid w:val="00E35C5A"/>
    <w:rsid w:val="00E35E41"/>
    <w:rsid w:val="00E36106"/>
    <w:rsid w:val="00E37045"/>
    <w:rsid w:val="00E40502"/>
    <w:rsid w:val="00E405AB"/>
    <w:rsid w:val="00E40CCC"/>
    <w:rsid w:val="00E4108F"/>
    <w:rsid w:val="00E415C9"/>
    <w:rsid w:val="00E41C05"/>
    <w:rsid w:val="00E420FC"/>
    <w:rsid w:val="00E4230F"/>
    <w:rsid w:val="00E427B7"/>
    <w:rsid w:val="00E435AD"/>
    <w:rsid w:val="00E43A36"/>
    <w:rsid w:val="00E44580"/>
    <w:rsid w:val="00E44A4D"/>
    <w:rsid w:val="00E45530"/>
    <w:rsid w:val="00E457A7"/>
    <w:rsid w:val="00E461AE"/>
    <w:rsid w:val="00E462B6"/>
    <w:rsid w:val="00E46E79"/>
    <w:rsid w:val="00E47536"/>
    <w:rsid w:val="00E50664"/>
    <w:rsid w:val="00E513C3"/>
    <w:rsid w:val="00E51DFF"/>
    <w:rsid w:val="00E5407A"/>
    <w:rsid w:val="00E550E0"/>
    <w:rsid w:val="00E556E3"/>
    <w:rsid w:val="00E55A61"/>
    <w:rsid w:val="00E561E2"/>
    <w:rsid w:val="00E56AE7"/>
    <w:rsid w:val="00E56E1A"/>
    <w:rsid w:val="00E576B5"/>
    <w:rsid w:val="00E60094"/>
    <w:rsid w:val="00E60DA5"/>
    <w:rsid w:val="00E6106C"/>
    <w:rsid w:val="00E61537"/>
    <w:rsid w:val="00E61C25"/>
    <w:rsid w:val="00E621F2"/>
    <w:rsid w:val="00E62D7F"/>
    <w:rsid w:val="00E62D9E"/>
    <w:rsid w:val="00E63317"/>
    <w:rsid w:val="00E64042"/>
    <w:rsid w:val="00E640D8"/>
    <w:rsid w:val="00E6465C"/>
    <w:rsid w:val="00E65FBF"/>
    <w:rsid w:val="00E6643B"/>
    <w:rsid w:val="00E6683F"/>
    <w:rsid w:val="00E6685D"/>
    <w:rsid w:val="00E67806"/>
    <w:rsid w:val="00E67D42"/>
    <w:rsid w:val="00E67D4D"/>
    <w:rsid w:val="00E67FBD"/>
    <w:rsid w:val="00E715BD"/>
    <w:rsid w:val="00E71B5D"/>
    <w:rsid w:val="00E7211F"/>
    <w:rsid w:val="00E72534"/>
    <w:rsid w:val="00E7387C"/>
    <w:rsid w:val="00E74D31"/>
    <w:rsid w:val="00E760B6"/>
    <w:rsid w:val="00E76D0F"/>
    <w:rsid w:val="00E77B2D"/>
    <w:rsid w:val="00E77BE0"/>
    <w:rsid w:val="00E77C4D"/>
    <w:rsid w:val="00E80E4C"/>
    <w:rsid w:val="00E81F11"/>
    <w:rsid w:val="00E820D9"/>
    <w:rsid w:val="00E82368"/>
    <w:rsid w:val="00E82B5D"/>
    <w:rsid w:val="00E83641"/>
    <w:rsid w:val="00E83D7D"/>
    <w:rsid w:val="00E83DB1"/>
    <w:rsid w:val="00E83EF9"/>
    <w:rsid w:val="00E84672"/>
    <w:rsid w:val="00E8569E"/>
    <w:rsid w:val="00E868C0"/>
    <w:rsid w:val="00E868FC"/>
    <w:rsid w:val="00E87A27"/>
    <w:rsid w:val="00E90AC7"/>
    <w:rsid w:val="00E913AF"/>
    <w:rsid w:val="00E91434"/>
    <w:rsid w:val="00E91B37"/>
    <w:rsid w:val="00E92318"/>
    <w:rsid w:val="00E9248A"/>
    <w:rsid w:val="00E93483"/>
    <w:rsid w:val="00E9349B"/>
    <w:rsid w:val="00E93F5B"/>
    <w:rsid w:val="00E9435F"/>
    <w:rsid w:val="00E95675"/>
    <w:rsid w:val="00E95C81"/>
    <w:rsid w:val="00E968CE"/>
    <w:rsid w:val="00E96BAF"/>
    <w:rsid w:val="00E96E44"/>
    <w:rsid w:val="00EA0654"/>
    <w:rsid w:val="00EA0D79"/>
    <w:rsid w:val="00EA18A1"/>
    <w:rsid w:val="00EA27D4"/>
    <w:rsid w:val="00EA32E3"/>
    <w:rsid w:val="00EA362B"/>
    <w:rsid w:val="00EA367B"/>
    <w:rsid w:val="00EA5B3F"/>
    <w:rsid w:val="00EA5D19"/>
    <w:rsid w:val="00EA5ED3"/>
    <w:rsid w:val="00EA6022"/>
    <w:rsid w:val="00EA64F2"/>
    <w:rsid w:val="00EA66AC"/>
    <w:rsid w:val="00EB33A4"/>
    <w:rsid w:val="00EB49E7"/>
    <w:rsid w:val="00EB4B87"/>
    <w:rsid w:val="00EB4E1B"/>
    <w:rsid w:val="00EB5920"/>
    <w:rsid w:val="00EB5B71"/>
    <w:rsid w:val="00EB5CFB"/>
    <w:rsid w:val="00EB5DDC"/>
    <w:rsid w:val="00EB6B76"/>
    <w:rsid w:val="00EB6ED9"/>
    <w:rsid w:val="00EB786D"/>
    <w:rsid w:val="00EB7B3B"/>
    <w:rsid w:val="00EB7D17"/>
    <w:rsid w:val="00EC09DA"/>
    <w:rsid w:val="00EC0B04"/>
    <w:rsid w:val="00EC0D29"/>
    <w:rsid w:val="00EC0D67"/>
    <w:rsid w:val="00EC1719"/>
    <w:rsid w:val="00EC31B3"/>
    <w:rsid w:val="00EC33B1"/>
    <w:rsid w:val="00EC44EC"/>
    <w:rsid w:val="00EC4E1A"/>
    <w:rsid w:val="00EC6052"/>
    <w:rsid w:val="00ED0B13"/>
    <w:rsid w:val="00ED204D"/>
    <w:rsid w:val="00ED3451"/>
    <w:rsid w:val="00ED36AC"/>
    <w:rsid w:val="00ED5C5E"/>
    <w:rsid w:val="00ED6387"/>
    <w:rsid w:val="00ED7782"/>
    <w:rsid w:val="00ED7A18"/>
    <w:rsid w:val="00ED7E25"/>
    <w:rsid w:val="00EE018C"/>
    <w:rsid w:val="00EE0222"/>
    <w:rsid w:val="00EE02C9"/>
    <w:rsid w:val="00EE1067"/>
    <w:rsid w:val="00EE2C60"/>
    <w:rsid w:val="00EE4187"/>
    <w:rsid w:val="00EE4879"/>
    <w:rsid w:val="00EE606D"/>
    <w:rsid w:val="00EE6C1E"/>
    <w:rsid w:val="00EE6FD5"/>
    <w:rsid w:val="00EF0064"/>
    <w:rsid w:val="00EF0B4C"/>
    <w:rsid w:val="00EF1061"/>
    <w:rsid w:val="00EF1C27"/>
    <w:rsid w:val="00EF1C96"/>
    <w:rsid w:val="00EF220B"/>
    <w:rsid w:val="00EF23A2"/>
    <w:rsid w:val="00EF2645"/>
    <w:rsid w:val="00EF3867"/>
    <w:rsid w:val="00EF431B"/>
    <w:rsid w:val="00EF4CDB"/>
    <w:rsid w:val="00EF50EC"/>
    <w:rsid w:val="00EF588B"/>
    <w:rsid w:val="00EF7BC8"/>
    <w:rsid w:val="00F0050A"/>
    <w:rsid w:val="00F00984"/>
    <w:rsid w:val="00F01418"/>
    <w:rsid w:val="00F0177C"/>
    <w:rsid w:val="00F01997"/>
    <w:rsid w:val="00F01A15"/>
    <w:rsid w:val="00F01E4F"/>
    <w:rsid w:val="00F022DA"/>
    <w:rsid w:val="00F024B8"/>
    <w:rsid w:val="00F0273D"/>
    <w:rsid w:val="00F03CBF"/>
    <w:rsid w:val="00F03FB1"/>
    <w:rsid w:val="00F044FD"/>
    <w:rsid w:val="00F05EB2"/>
    <w:rsid w:val="00F068B8"/>
    <w:rsid w:val="00F06C29"/>
    <w:rsid w:val="00F07808"/>
    <w:rsid w:val="00F0780C"/>
    <w:rsid w:val="00F07EC0"/>
    <w:rsid w:val="00F10CF4"/>
    <w:rsid w:val="00F116A5"/>
    <w:rsid w:val="00F11B3B"/>
    <w:rsid w:val="00F125BA"/>
    <w:rsid w:val="00F1280E"/>
    <w:rsid w:val="00F130A8"/>
    <w:rsid w:val="00F13679"/>
    <w:rsid w:val="00F1382F"/>
    <w:rsid w:val="00F143DD"/>
    <w:rsid w:val="00F1523A"/>
    <w:rsid w:val="00F16BCE"/>
    <w:rsid w:val="00F16F87"/>
    <w:rsid w:val="00F171F7"/>
    <w:rsid w:val="00F17B01"/>
    <w:rsid w:val="00F17F16"/>
    <w:rsid w:val="00F20902"/>
    <w:rsid w:val="00F2150D"/>
    <w:rsid w:val="00F219E9"/>
    <w:rsid w:val="00F21CDD"/>
    <w:rsid w:val="00F21FC4"/>
    <w:rsid w:val="00F22023"/>
    <w:rsid w:val="00F22C35"/>
    <w:rsid w:val="00F233FB"/>
    <w:rsid w:val="00F23A27"/>
    <w:rsid w:val="00F23D42"/>
    <w:rsid w:val="00F2441C"/>
    <w:rsid w:val="00F25A71"/>
    <w:rsid w:val="00F26F4E"/>
    <w:rsid w:val="00F30363"/>
    <w:rsid w:val="00F30A13"/>
    <w:rsid w:val="00F31570"/>
    <w:rsid w:val="00F31C5E"/>
    <w:rsid w:val="00F32277"/>
    <w:rsid w:val="00F33007"/>
    <w:rsid w:val="00F339A3"/>
    <w:rsid w:val="00F3496B"/>
    <w:rsid w:val="00F34F63"/>
    <w:rsid w:val="00F355BD"/>
    <w:rsid w:val="00F36151"/>
    <w:rsid w:val="00F36953"/>
    <w:rsid w:val="00F37138"/>
    <w:rsid w:val="00F375E9"/>
    <w:rsid w:val="00F37AE8"/>
    <w:rsid w:val="00F40228"/>
    <w:rsid w:val="00F40433"/>
    <w:rsid w:val="00F41091"/>
    <w:rsid w:val="00F414CB"/>
    <w:rsid w:val="00F41D9B"/>
    <w:rsid w:val="00F422A0"/>
    <w:rsid w:val="00F42BD8"/>
    <w:rsid w:val="00F42FFD"/>
    <w:rsid w:val="00F4324A"/>
    <w:rsid w:val="00F43B62"/>
    <w:rsid w:val="00F43E34"/>
    <w:rsid w:val="00F449CE"/>
    <w:rsid w:val="00F44CD9"/>
    <w:rsid w:val="00F44EA3"/>
    <w:rsid w:val="00F4508E"/>
    <w:rsid w:val="00F4527A"/>
    <w:rsid w:val="00F45B59"/>
    <w:rsid w:val="00F46F17"/>
    <w:rsid w:val="00F470D6"/>
    <w:rsid w:val="00F500BF"/>
    <w:rsid w:val="00F5039D"/>
    <w:rsid w:val="00F53AA1"/>
    <w:rsid w:val="00F54327"/>
    <w:rsid w:val="00F56AB1"/>
    <w:rsid w:val="00F56F11"/>
    <w:rsid w:val="00F573F3"/>
    <w:rsid w:val="00F60347"/>
    <w:rsid w:val="00F6047A"/>
    <w:rsid w:val="00F60E87"/>
    <w:rsid w:val="00F63029"/>
    <w:rsid w:val="00F63CA0"/>
    <w:rsid w:val="00F6429D"/>
    <w:rsid w:val="00F679FE"/>
    <w:rsid w:val="00F71650"/>
    <w:rsid w:val="00F718C3"/>
    <w:rsid w:val="00F71B42"/>
    <w:rsid w:val="00F72289"/>
    <w:rsid w:val="00F724D8"/>
    <w:rsid w:val="00F72718"/>
    <w:rsid w:val="00F72ADD"/>
    <w:rsid w:val="00F73167"/>
    <w:rsid w:val="00F74070"/>
    <w:rsid w:val="00F74920"/>
    <w:rsid w:val="00F74F0D"/>
    <w:rsid w:val="00F75136"/>
    <w:rsid w:val="00F75279"/>
    <w:rsid w:val="00F759BE"/>
    <w:rsid w:val="00F760FC"/>
    <w:rsid w:val="00F76937"/>
    <w:rsid w:val="00F800C2"/>
    <w:rsid w:val="00F80FA8"/>
    <w:rsid w:val="00F817CD"/>
    <w:rsid w:val="00F81AA9"/>
    <w:rsid w:val="00F827DD"/>
    <w:rsid w:val="00F83589"/>
    <w:rsid w:val="00F844C3"/>
    <w:rsid w:val="00F84618"/>
    <w:rsid w:val="00F84A3B"/>
    <w:rsid w:val="00F84B3C"/>
    <w:rsid w:val="00F8552F"/>
    <w:rsid w:val="00F8631B"/>
    <w:rsid w:val="00F86659"/>
    <w:rsid w:val="00F87502"/>
    <w:rsid w:val="00F91052"/>
    <w:rsid w:val="00F91192"/>
    <w:rsid w:val="00F91E46"/>
    <w:rsid w:val="00F92012"/>
    <w:rsid w:val="00F937EE"/>
    <w:rsid w:val="00F93C09"/>
    <w:rsid w:val="00F94751"/>
    <w:rsid w:val="00F9592C"/>
    <w:rsid w:val="00F96B3E"/>
    <w:rsid w:val="00F96D9B"/>
    <w:rsid w:val="00F974A2"/>
    <w:rsid w:val="00F97629"/>
    <w:rsid w:val="00F9790E"/>
    <w:rsid w:val="00FA1523"/>
    <w:rsid w:val="00FA1FB2"/>
    <w:rsid w:val="00FA25F7"/>
    <w:rsid w:val="00FA27BA"/>
    <w:rsid w:val="00FA27E6"/>
    <w:rsid w:val="00FA2CB0"/>
    <w:rsid w:val="00FA31DB"/>
    <w:rsid w:val="00FA32FF"/>
    <w:rsid w:val="00FA3B57"/>
    <w:rsid w:val="00FA3B8A"/>
    <w:rsid w:val="00FA4A93"/>
    <w:rsid w:val="00FA4D59"/>
    <w:rsid w:val="00FA6340"/>
    <w:rsid w:val="00FA698C"/>
    <w:rsid w:val="00FA6DE8"/>
    <w:rsid w:val="00FA7464"/>
    <w:rsid w:val="00FA79C5"/>
    <w:rsid w:val="00FA7E20"/>
    <w:rsid w:val="00FB0343"/>
    <w:rsid w:val="00FB0C45"/>
    <w:rsid w:val="00FB125B"/>
    <w:rsid w:val="00FB5A81"/>
    <w:rsid w:val="00FB5CE9"/>
    <w:rsid w:val="00FB64E2"/>
    <w:rsid w:val="00FC21DA"/>
    <w:rsid w:val="00FC4E09"/>
    <w:rsid w:val="00FC507A"/>
    <w:rsid w:val="00FC614C"/>
    <w:rsid w:val="00FC6B8F"/>
    <w:rsid w:val="00FC7D23"/>
    <w:rsid w:val="00FD025D"/>
    <w:rsid w:val="00FD14E9"/>
    <w:rsid w:val="00FD1665"/>
    <w:rsid w:val="00FD1CF3"/>
    <w:rsid w:val="00FD2256"/>
    <w:rsid w:val="00FD2C08"/>
    <w:rsid w:val="00FD2CD2"/>
    <w:rsid w:val="00FD32FA"/>
    <w:rsid w:val="00FD3D5E"/>
    <w:rsid w:val="00FD4859"/>
    <w:rsid w:val="00FD4943"/>
    <w:rsid w:val="00FD4A00"/>
    <w:rsid w:val="00FD4AEC"/>
    <w:rsid w:val="00FD4B01"/>
    <w:rsid w:val="00FD5C43"/>
    <w:rsid w:val="00FD70E2"/>
    <w:rsid w:val="00FE046C"/>
    <w:rsid w:val="00FE0887"/>
    <w:rsid w:val="00FE2263"/>
    <w:rsid w:val="00FE26E3"/>
    <w:rsid w:val="00FE467C"/>
    <w:rsid w:val="00FE4979"/>
    <w:rsid w:val="00FE4B1C"/>
    <w:rsid w:val="00FE4C76"/>
    <w:rsid w:val="00FE663F"/>
    <w:rsid w:val="00FE6846"/>
    <w:rsid w:val="00FE6853"/>
    <w:rsid w:val="00FE68D9"/>
    <w:rsid w:val="00FE73C4"/>
    <w:rsid w:val="00FE7512"/>
    <w:rsid w:val="00FE7907"/>
    <w:rsid w:val="00FE7EB4"/>
    <w:rsid w:val="00FF18B3"/>
    <w:rsid w:val="00FF203C"/>
    <w:rsid w:val="00FF256E"/>
    <w:rsid w:val="00FF2BFE"/>
    <w:rsid w:val="00FF2E44"/>
    <w:rsid w:val="00FF4245"/>
    <w:rsid w:val="00FF46C5"/>
    <w:rsid w:val="00FF4884"/>
    <w:rsid w:val="00FF54F4"/>
    <w:rsid w:val="00FF624E"/>
    <w:rsid w:val="00FF64CC"/>
    <w:rsid w:val="00FF7010"/>
    <w:rsid w:val="1BD1F346"/>
    <w:rsid w:val="37344BDB"/>
    <w:rsid w:val="6E7A0D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37"/>
    <w:rPr>
      <w:sz w:val="24"/>
      <w:szCs w:val="24"/>
    </w:rPr>
  </w:style>
  <w:style w:type="paragraph" w:styleId="Titre1">
    <w:name w:val="heading 1"/>
    <w:basedOn w:val="Normal"/>
    <w:next w:val="Normal"/>
    <w:link w:val="Titre1Car"/>
    <w:qFormat/>
    <w:locked/>
    <w:rsid w:val="00A839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BF247B"/>
    <w:rPr>
      <w:sz w:val="16"/>
      <w:szCs w:val="20"/>
      <w:lang w:val="en-US" w:eastAsia="en-US"/>
    </w:rPr>
  </w:style>
  <w:style w:type="character" w:customStyle="1" w:styleId="TextedebullesCar">
    <w:name w:val="Texte de bulles Car"/>
    <w:basedOn w:val="Policepardfaut"/>
    <w:link w:val="Textedebulles"/>
    <w:uiPriority w:val="99"/>
    <w:semiHidden/>
    <w:locked/>
    <w:rsid w:val="00BF247B"/>
    <w:rPr>
      <w:rFonts w:cs="Times New Roman"/>
      <w:sz w:val="16"/>
      <w:lang w:val="en-US" w:eastAsia="en-US" w:bidi="ar-SA"/>
    </w:rPr>
  </w:style>
  <w:style w:type="paragraph" w:styleId="Listepuces">
    <w:name w:val="List Bullet"/>
    <w:basedOn w:val="Normal"/>
    <w:uiPriority w:val="99"/>
    <w:rsid w:val="00974D15"/>
    <w:pPr>
      <w:numPr>
        <w:numId w:val="1"/>
      </w:numPr>
    </w:pPr>
  </w:style>
  <w:style w:type="paragraph" w:customStyle="1" w:styleId="Default">
    <w:name w:val="Default"/>
    <w:rsid w:val="00211320"/>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847609"/>
    <w:pPr>
      <w:tabs>
        <w:tab w:val="center" w:pos="4536"/>
        <w:tab w:val="right" w:pos="9072"/>
      </w:tabs>
    </w:pPr>
    <w:rPr>
      <w:lang w:val="en-US" w:eastAsia="en-US"/>
    </w:rPr>
  </w:style>
  <w:style w:type="character" w:customStyle="1" w:styleId="En-tteCar">
    <w:name w:val="En-tête Car"/>
    <w:basedOn w:val="Policepardfaut"/>
    <w:link w:val="En-tte"/>
    <w:uiPriority w:val="99"/>
    <w:locked/>
    <w:rsid w:val="00EF1C96"/>
    <w:rPr>
      <w:rFonts w:cs="Times New Roman"/>
      <w:sz w:val="24"/>
    </w:rPr>
  </w:style>
  <w:style w:type="character" w:styleId="Numrodepage">
    <w:name w:val="page number"/>
    <w:basedOn w:val="Policepardfaut"/>
    <w:uiPriority w:val="99"/>
    <w:rsid w:val="00847609"/>
    <w:rPr>
      <w:rFonts w:cs="Times New Roman"/>
    </w:rPr>
  </w:style>
  <w:style w:type="paragraph" w:styleId="Pieddepage">
    <w:name w:val="footer"/>
    <w:basedOn w:val="Normal"/>
    <w:link w:val="PieddepageCar"/>
    <w:uiPriority w:val="99"/>
    <w:rsid w:val="00DF2DB8"/>
    <w:pPr>
      <w:tabs>
        <w:tab w:val="center" w:pos="4536"/>
        <w:tab w:val="right" w:pos="9072"/>
      </w:tabs>
    </w:pPr>
    <w:rPr>
      <w:lang w:val="en-US" w:eastAsia="en-US"/>
    </w:rPr>
  </w:style>
  <w:style w:type="character" w:customStyle="1" w:styleId="PieddepageCar">
    <w:name w:val="Pied de page Car"/>
    <w:basedOn w:val="Policepardfaut"/>
    <w:link w:val="Pieddepage"/>
    <w:uiPriority w:val="99"/>
    <w:locked/>
    <w:rsid w:val="00EF1C96"/>
    <w:rPr>
      <w:rFonts w:cs="Times New Roman"/>
      <w:sz w:val="24"/>
    </w:rPr>
  </w:style>
  <w:style w:type="character" w:styleId="Marquedecommentaire">
    <w:name w:val="annotation reference"/>
    <w:basedOn w:val="Policepardfaut"/>
    <w:uiPriority w:val="99"/>
    <w:semiHidden/>
    <w:rsid w:val="00825923"/>
    <w:rPr>
      <w:rFonts w:cs="Times New Roman"/>
      <w:sz w:val="16"/>
    </w:rPr>
  </w:style>
  <w:style w:type="paragraph" w:styleId="Commentaire">
    <w:name w:val="annotation text"/>
    <w:basedOn w:val="Normal"/>
    <w:link w:val="CommentaireCar"/>
    <w:uiPriority w:val="99"/>
    <w:semiHidden/>
    <w:rsid w:val="00825923"/>
    <w:rPr>
      <w:sz w:val="20"/>
      <w:szCs w:val="20"/>
      <w:lang w:val="en-US" w:eastAsia="en-US"/>
    </w:rPr>
  </w:style>
  <w:style w:type="character" w:customStyle="1" w:styleId="CommentaireCar">
    <w:name w:val="Commentaire Car"/>
    <w:basedOn w:val="Policepardfaut"/>
    <w:link w:val="Commentaire"/>
    <w:uiPriority w:val="99"/>
    <w:semiHidden/>
    <w:locked/>
    <w:rsid w:val="00EF1C96"/>
    <w:rPr>
      <w:rFonts w:cs="Times New Roman"/>
      <w:sz w:val="20"/>
    </w:rPr>
  </w:style>
  <w:style w:type="paragraph" w:styleId="Objetducommentaire">
    <w:name w:val="annotation subject"/>
    <w:basedOn w:val="Commentaire"/>
    <w:next w:val="Commentaire"/>
    <w:link w:val="ObjetducommentaireCar"/>
    <w:uiPriority w:val="99"/>
    <w:semiHidden/>
    <w:rsid w:val="00825923"/>
    <w:rPr>
      <w:b/>
      <w:bCs/>
    </w:rPr>
  </w:style>
  <w:style w:type="character" w:customStyle="1" w:styleId="ObjetducommentaireCar">
    <w:name w:val="Objet du commentaire Car"/>
    <w:basedOn w:val="CommentaireCar"/>
    <w:link w:val="Objetducommentaire"/>
    <w:uiPriority w:val="99"/>
    <w:semiHidden/>
    <w:locked/>
    <w:rsid w:val="00EF1C96"/>
    <w:rPr>
      <w:rFonts w:cs="Times New Roman"/>
      <w:b/>
      <w:sz w:val="20"/>
    </w:rPr>
  </w:style>
  <w:style w:type="paragraph" w:customStyle="1" w:styleId="CM8">
    <w:name w:val="CM8"/>
    <w:basedOn w:val="Default"/>
    <w:next w:val="Default"/>
    <w:uiPriority w:val="99"/>
    <w:rsid w:val="009F67A9"/>
    <w:rPr>
      <w:rFonts w:cs="Times New Roman"/>
      <w:color w:val="auto"/>
    </w:rPr>
  </w:style>
  <w:style w:type="paragraph" w:styleId="Explorateurdedocuments">
    <w:name w:val="Document Map"/>
    <w:basedOn w:val="Normal"/>
    <w:link w:val="ExplorateurdedocumentsCar"/>
    <w:uiPriority w:val="99"/>
    <w:semiHidden/>
    <w:rsid w:val="00E84672"/>
    <w:pPr>
      <w:shd w:val="clear" w:color="auto" w:fill="000080"/>
    </w:pPr>
    <w:rPr>
      <w:sz w:val="2"/>
      <w:szCs w:val="20"/>
      <w:lang w:val="en-US" w:eastAsia="en-US"/>
    </w:rPr>
  </w:style>
  <w:style w:type="character" w:customStyle="1" w:styleId="ExplorateurdedocumentsCar">
    <w:name w:val="Explorateur de documents Car"/>
    <w:basedOn w:val="Policepardfaut"/>
    <w:link w:val="Explorateurdedocuments"/>
    <w:uiPriority w:val="99"/>
    <w:semiHidden/>
    <w:locked/>
    <w:rsid w:val="00EF1C96"/>
    <w:rPr>
      <w:rFonts w:cs="Times New Roman"/>
      <w:sz w:val="2"/>
    </w:rPr>
  </w:style>
  <w:style w:type="character" w:customStyle="1" w:styleId="st1">
    <w:name w:val="st1"/>
    <w:uiPriority w:val="99"/>
    <w:rsid w:val="007B46AE"/>
  </w:style>
  <w:style w:type="paragraph" w:styleId="Rvision">
    <w:name w:val="Revision"/>
    <w:hidden/>
    <w:uiPriority w:val="99"/>
    <w:semiHidden/>
    <w:rsid w:val="00B912A8"/>
    <w:rPr>
      <w:sz w:val="24"/>
      <w:szCs w:val="24"/>
    </w:rPr>
  </w:style>
  <w:style w:type="paragraph" w:styleId="Paragraphedeliste">
    <w:name w:val="List Paragraph"/>
    <w:basedOn w:val="Normal"/>
    <w:uiPriority w:val="99"/>
    <w:qFormat/>
    <w:rsid w:val="00737907"/>
    <w:pPr>
      <w:spacing w:after="200" w:line="276" w:lineRule="auto"/>
      <w:ind w:left="720"/>
      <w:contextualSpacing/>
    </w:pPr>
    <w:rPr>
      <w:rFonts w:ascii="Calibri" w:hAnsi="Calibri"/>
      <w:sz w:val="22"/>
      <w:szCs w:val="22"/>
      <w:lang w:val="en-GB" w:eastAsia="en-US"/>
    </w:rPr>
  </w:style>
  <w:style w:type="paragraph" w:styleId="Notedebasdepage">
    <w:name w:val="footnote text"/>
    <w:basedOn w:val="Normal"/>
    <w:link w:val="NotedebasdepageCar"/>
    <w:uiPriority w:val="99"/>
    <w:rsid w:val="00BF14CC"/>
    <w:rPr>
      <w:sz w:val="20"/>
      <w:szCs w:val="20"/>
      <w:lang w:val="en-US" w:eastAsia="en-US"/>
    </w:rPr>
  </w:style>
  <w:style w:type="character" w:customStyle="1" w:styleId="NotedebasdepageCar">
    <w:name w:val="Note de bas de page Car"/>
    <w:basedOn w:val="Policepardfaut"/>
    <w:link w:val="Notedebasdepage"/>
    <w:uiPriority w:val="99"/>
    <w:locked/>
    <w:rsid w:val="00EF1C96"/>
    <w:rPr>
      <w:rFonts w:cs="Times New Roman"/>
      <w:sz w:val="20"/>
    </w:rPr>
  </w:style>
  <w:style w:type="character" w:styleId="Appelnotedebasdep">
    <w:name w:val="footnote reference"/>
    <w:basedOn w:val="Policepardfaut"/>
    <w:uiPriority w:val="99"/>
    <w:rsid w:val="00BF14CC"/>
    <w:rPr>
      <w:rFonts w:cs="Times New Roman"/>
      <w:vertAlign w:val="superscript"/>
    </w:rPr>
  </w:style>
  <w:style w:type="paragraph" w:styleId="Corpsdetexte">
    <w:name w:val="Body Text"/>
    <w:basedOn w:val="Normal"/>
    <w:link w:val="CorpsdetexteCar"/>
    <w:uiPriority w:val="99"/>
    <w:rsid w:val="00D51BC0"/>
    <w:rPr>
      <w:szCs w:val="20"/>
      <w:lang w:val="sv-SE" w:eastAsia="en-US"/>
    </w:rPr>
  </w:style>
  <w:style w:type="character" w:customStyle="1" w:styleId="CorpsdetexteCar">
    <w:name w:val="Corps de texte Car"/>
    <w:basedOn w:val="Policepardfaut"/>
    <w:link w:val="Corpsdetexte"/>
    <w:uiPriority w:val="99"/>
    <w:locked/>
    <w:rsid w:val="00D51BC0"/>
    <w:rPr>
      <w:rFonts w:eastAsia="Times New Roman" w:cs="Times New Roman"/>
      <w:sz w:val="24"/>
      <w:lang w:val="sv-SE" w:eastAsia="en-US"/>
    </w:rPr>
  </w:style>
  <w:style w:type="paragraph" w:styleId="Textebrut">
    <w:name w:val="Plain Text"/>
    <w:basedOn w:val="Normal"/>
    <w:link w:val="TextebrutCar"/>
    <w:uiPriority w:val="99"/>
    <w:rsid w:val="006C1B85"/>
    <w:rPr>
      <w:rFonts w:ascii="Arial" w:hAnsi="Arial"/>
      <w:sz w:val="21"/>
      <w:szCs w:val="21"/>
      <w:lang w:val="sv-SE" w:eastAsia="en-US"/>
    </w:rPr>
  </w:style>
  <w:style w:type="character" w:customStyle="1" w:styleId="TextebrutCar">
    <w:name w:val="Texte brut Car"/>
    <w:basedOn w:val="Policepardfaut"/>
    <w:link w:val="Textebrut"/>
    <w:uiPriority w:val="99"/>
    <w:locked/>
    <w:rsid w:val="006C1B85"/>
    <w:rPr>
      <w:rFonts w:ascii="Arial" w:hAnsi="Arial" w:cs="Times New Roman"/>
      <w:sz w:val="21"/>
      <w:lang w:val="sv-SE" w:eastAsia="en-US"/>
    </w:rPr>
  </w:style>
  <w:style w:type="paragraph" w:customStyle="1" w:styleId="CM3">
    <w:name w:val="CM3"/>
    <w:basedOn w:val="Default"/>
    <w:next w:val="Default"/>
    <w:uiPriority w:val="99"/>
    <w:rsid w:val="00AF44B0"/>
    <w:pPr>
      <w:widowControl w:val="0"/>
      <w:spacing w:line="268" w:lineRule="atLeast"/>
    </w:pPr>
    <w:rPr>
      <w:rFonts w:ascii="Calibri,Bold" w:hAnsi="Calibri,Bold" w:cs="Times New Roman"/>
      <w:color w:val="auto"/>
    </w:rPr>
  </w:style>
  <w:style w:type="paragraph" w:customStyle="1" w:styleId="CM14">
    <w:name w:val="CM14"/>
    <w:basedOn w:val="Default"/>
    <w:next w:val="Default"/>
    <w:uiPriority w:val="99"/>
    <w:rsid w:val="00AF44B0"/>
    <w:pPr>
      <w:widowControl w:val="0"/>
    </w:pPr>
    <w:rPr>
      <w:rFonts w:ascii="Calibri,Bold" w:hAnsi="Calibri,Bold" w:cs="Times New Roman"/>
      <w:color w:val="auto"/>
    </w:rPr>
  </w:style>
  <w:style w:type="paragraph" w:customStyle="1" w:styleId="CM7">
    <w:name w:val="CM7"/>
    <w:basedOn w:val="Default"/>
    <w:next w:val="Default"/>
    <w:uiPriority w:val="99"/>
    <w:rsid w:val="00AF44B0"/>
    <w:pPr>
      <w:widowControl w:val="0"/>
      <w:spacing w:line="268" w:lineRule="atLeast"/>
    </w:pPr>
    <w:rPr>
      <w:rFonts w:ascii="Calibri,Bold" w:hAnsi="Calibri,Bold" w:cs="Times New Roman"/>
      <w:color w:val="auto"/>
    </w:rPr>
  </w:style>
  <w:style w:type="table" w:styleId="Grilledutableau">
    <w:name w:val="Table Grid"/>
    <w:basedOn w:val="TableauNormal"/>
    <w:locked/>
    <w:rsid w:val="00596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442B1"/>
    <w:rPr>
      <w:color w:val="0000FF" w:themeColor="hyperlink"/>
      <w:u w:val="single"/>
    </w:rPr>
  </w:style>
  <w:style w:type="character" w:customStyle="1" w:styleId="hps">
    <w:name w:val="hps"/>
    <w:basedOn w:val="Policepardfaut"/>
    <w:rsid w:val="00A43A37"/>
  </w:style>
  <w:style w:type="paragraph" w:styleId="NormalWeb">
    <w:name w:val="Normal (Web)"/>
    <w:basedOn w:val="Normal"/>
    <w:uiPriority w:val="99"/>
    <w:unhideWhenUsed/>
    <w:rsid w:val="00066218"/>
    <w:pPr>
      <w:spacing w:before="100" w:beforeAutospacing="1" w:after="100" w:afterAutospacing="1"/>
    </w:pPr>
    <w:rPr>
      <w:lang w:val="fr-FR" w:eastAsia="fr-FR"/>
    </w:rPr>
  </w:style>
  <w:style w:type="character" w:styleId="Textedelespacerserv">
    <w:name w:val="Placeholder Text"/>
    <w:basedOn w:val="Policepardfaut"/>
    <w:uiPriority w:val="99"/>
    <w:semiHidden/>
    <w:rsid w:val="006351B0"/>
    <w:rPr>
      <w:color w:val="808080"/>
    </w:rPr>
  </w:style>
  <w:style w:type="paragraph" w:styleId="Lgende">
    <w:name w:val="caption"/>
    <w:basedOn w:val="Normal"/>
    <w:next w:val="Normal"/>
    <w:unhideWhenUsed/>
    <w:qFormat/>
    <w:locked/>
    <w:rsid w:val="0083145B"/>
    <w:pPr>
      <w:spacing w:after="200"/>
    </w:pPr>
    <w:rPr>
      <w:b/>
      <w:bCs/>
      <w:color w:val="4F81BD" w:themeColor="accent1"/>
      <w:sz w:val="18"/>
      <w:szCs w:val="18"/>
    </w:rPr>
  </w:style>
  <w:style w:type="character" w:customStyle="1" w:styleId="apple-converted-space">
    <w:name w:val="apple-converted-space"/>
    <w:basedOn w:val="Policepardfaut"/>
    <w:rsid w:val="00170E70"/>
  </w:style>
  <w:style w:type="paragraph" w:styleId="Sansinterligne">
    <w:name w:val="No Spacing"/>
    <w:uiPriority w:val="1"/>
    <w:qFormat/>
    <w:rsid w:val="00BB5F47"/>
    <w:rPr>
      <w:sz w:val="24"/>
      <w:szCs w:val="24"/>
    </w:rPr>
  </w:style>
  <w:style w:type="character" w:customStyle="1" w:styleId="Titre1Car">
    <w:name w:val="Titre 1 Car"/>
    <w:basedOn w:val="Policepardfaut"/>
    <w:link w:val="Titre1"/>
    <w:rsid w:val="00A83951"/>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A83951"/>
    <w:pPr>
      <w:spacing w:line="259" w:lineRule="auto"/>
      <w:outlineLvl w:val="9"/>
    </w:pPr>
    <w:rPr>
      <w:lang w:val="de-AT" w:eastAsia="de-AT"/>
    </w:rPr>
  </w:style>
  <w:style w:type="paragraph" w:styleId="TM1">
    <w:name w:val="toc 1"/>
    <w:basedOn w:val="Normal"/>
    <w:next w:val="Normal"/>
    <w:autoRedefine/>
    <w:uiPriority w:val="39"/>
    <w:qFormat/>
    <w:locked/>
    <w:rsid w:val="00014B56"/>
    <w:pPr>
      <w:tabs>
        <w:tab w:val="right" w:leader="dot" w:pos="9060"/>
      </w:tabs>
      <w:spacing w:after="100"/>
    </w:pPr>
  </w:style>
  <w:style w:type="paragraph" w:styleId="TM2">
    <w:name w:val="toc 2"/>
    <w:basedOn w:val="Normal"/>
    <w:next w:val="Normal"/>
    <w:autoRedefine/>
    <w:uiPriority w:val="39"/>
    <w:unhideWhenUsed/>
    <w:qFormat/>
    <w:locked/>
    <w:rsid w:val="00C075A5"/>
    <w:pPr>
      <w:spacing w:after="100" w:line="276" w:lineRule="auto"/>
      <w:ind w:left="220"/>
    </w:pPr>
    <w:rPr>
      <w:rFonts w:asciiTheme="minorHAnsi" w:eastAsiaTheme="minorEastAsia" w:hAnsiTheme="minorHAnsi" w:cstheme="minorBidi"/>
      <w:sz w:val="22"/>
      <w:szCs w:val="22"/>
      <w:lang w:val="de-AT" w:eastAsia="de-AT"/>
    </w:rPr>
  </w:style>
  <w:style w:type="paragraph" w:styleId="TM3">
    <w:name w:val="toc 3"/>
    <w:basedOn w:val="Normal"/>
    <w:next w:val="Normal"/>
    <w:autoRedefine/>
    <w:uiPriority w:val="39"/>
    <w:unhideWhenUsed/>
    <w:qFormat/>
    <w:locked/>
    <w:rsid w:val="00C075A5"/>
    <w:pPr>
      <w:spacing w:after="100" w:line="276" w:lineRule="auto"/>
      <w:ind w:left="440"/>
    </w:pPr>
    <w:rPr>
      <w:rFonts w:asciiTheme="minorHAnsi" w:eastAsiaTheme="minorEastAsia" w:hAnsiTheme="minorHAnsi" w:cstheme="minorBidi"/>
      <w:sz w:val="22"/>
      <w:szCs w:val="22"/>
      <w:lang w:val="de-AT" w:eastAsia="de-AT"/>
    </w:rPr>
  </w:style>
  <w:style w:type="character" w:styleId="Accentuation">
    <w:name w:val="Emphasis"/>
    <w:basedOn w:val="Policepardfaut"/>
    <w:qFormat/>
    <w:locked/>
    <w:rsid w:val="00EE4187"/>
    <w:rPr>
      <w:i/>
      <w:iCs/>
    </w:rPr>
  </w:style>
  <w:style w:type="character" w:styleId="ExempleHTML">
    <w:name w:val="HTML Sample"/>
    <w:basedOn w:val="Policepardfaut"/>
    <w:uiPriority w:val="99"/>
    <w:semiHidden/>
    <w:unhideWhenUsed/>
    <w:rsid w:val="0052306B"/>
    <w:rPr>
      <w:rFonts w:ascii="Courier New" w:eastAsia="Times New Roman" w:hAnsi="Courier New" w:cs="Courier New"/>
    </w:rPr>
  </w:style>
  <w:style w:type="paragraph" w:styleId="PrformatHTML">
    <w:name w:val="HTML Preformatted"/>
    <w:basedOn w:val="Normal"/>
    <w:link w:val="PrformatHTMLCar"/>
    <w:uiPriority w:val="99"/>
    <w:semiHidden/>
    <w:unhideWhenUsed/>
    <w:rsid w:val="0060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603038"/>
    <w:rPr>
      <w:rFonts w:ascii="Courier New" w:hAnsi="Courier New" w:cs="Courier New"/>
      <w:sz w:val="20"/>
      <w:szCs w:val="20"/>
      <w:lang w:val="fr-FR" w:eastAsia="fr-FR"/>
    </w:rPr>
  </w:style>
  <w:style w:type="paragraph" w:styleId="Sous-titre">
    <w:name w:val="Subtitle"/>
    <w:basedOn w:val="Normal"/>
    <w:next w:val="Normal"/>
    <w:link w:val="Sous-titreCar"/>
    <w:qFormat/>
    <w:locked/>
    <w:rsid w:val="00096A00"/>
    <w:pPr>
      <w:numPr>
        <w:ilvl w:val="1"/>
      </w:numPr>
      <w:spacing w:line="360" w:lineRule="auto"/>
    </w:pPr>
    <w:rPr>
      <w:rFonts w:eastAsiaTheme="majorEastAsia"/>
      <w:b/>
      <w:iCs/>
      <w:spacing w:val="15"/>
    </w:rPr>
  </w:style>
  <w:style w:type="character" w:customStyle="1" w:styleId="Sous-titreCar">
    <w:name w:val="Sous-titre Car"/>
    <w:basedOn w:val="Policepardfaut"/>
    <w:link w:val="Sous-titre"/>
    <w:rsid w:val="00096A00"/>
    <w:rPr>
      <w:rFonts w:eastAsiaTheme="majorEastAsia"/>
      <w:b/>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37"/>
    <w:rPr>
      <w:sz w:val="24"/>
      <w:szCs w:val="24"/>
    </w:rPr>
  </w:style>
  <w:style w:type="paragraph" w:styleId="Titre1">
    <w:name w:val="heading 1"/>
    <w:basedOn w:val="Normal"/>
    <w:next w:val="Normal"/>
    <w:link w:val="Titre1Car"/>
    <w:qFormat/>
    <w:locked/>
    <w:rsid w:val="00A839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BF247B"/>
    <w:rPr>
      <w:sz w:val="16"/>
      <w:szCs w:val="20"/>
      <w:lang w:val="en-US" w:eastAsia="en-US"/>
    </w:rPr>
  </w:style>
  <w:style w:type="character" w:customStyle="1" w:styleId="TextedebullesCar">
    <w:name w:val="Texte de bulles Car"/>
    <w:basedOn w:val="Policepardfaut"/>
    <w:link w:val="Textedebulles"/>
    <w:uiPriority w:val="99"/>
    <w:semiHidden/>
    <w:locked/>
    <w:rsid w:val="00BF247B"/>
    <w:rPr>
      <w:rFonts w:cs="Times New Roman"/>
      <w:sz w:val="16"/>
      <w:lang w:val="en-US" w:eastAsia="en-US" w:bidi="ar-SA"/>
    </w:rPr>
  </w:style>
  <w:style w:type="paragraph" w:styleId="Listepuces">
    <w:name w:val="List Bullet"/>
    <w:basedOn w:val="Normal"/>
    <w:uiPriority w:val="99"/>
    <w:rsid w:val="00974D15"/>
    <w:pPr>
      <w:numPr>
        <w:numId w:val="1"/>
      </w:numPr>
    </w:pPr>
  </w:style>
  <w:style w:type="paragraph" w:customStyle="1" w:styleId="Default">
    <w:name w:val="Default"/>
    <w:rsid w:val="00211320"/>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847609"/>
    <w:pPr>
      <w:tabs>
        <w:tab w:val="center" w:pos="4536"/>
        <w:tab w:val="right" w:pos="9072"/>
      </w:tabs>
    </w:pPr>
    <w:rPr>
      <w:lang w:val="en-US" w:eastAsia="en-US"/>
    </w:rPr>
  </w:style>
  <w:style w:type="character" w:customStyle="1" w:styleId="En-tteCar">
    <w:name w:val="En-tête Car"/>
    <w:basedOn w:val="Policepardfaut"/>
    <w:link w:val="En-tte"/>
    <w:uiPriority w:val="99"/>
    <w:locked/>
    <w:rsid w:val="00EF1C96"/>
    <w:rPr>
      <w:rFonts w:cs="Times New Roman"/>
      <w:sz w:val="24"/>
    </w:rPr>
  </w:style>
  <w:style w:type="character" w:styleId="Numrodepage">
    <w:name w:val="page number"/>
    <w:basedOn w:val="Policepardfaut"/>
    <w:uiPriority w:val="99"/>
    <w:rsid w:val="00847609"/>
    <w:rPr>
      <w:rFonts w:cs="Times New Roman"/>
    </w:rPr>
  </w:style>
  <w:style w:type="paragraph" w:styleId="Pieddepage">
    <w:name w:val="footer"/>
    <w:basedOn w:val="Normal"/>
    <w:link w:val="PieddepageCar"/>
    <w:uiPriority w:val="99"/>
    <w:rsid w:val="00DF2DB8"/>
    <w:pPr>
      <w:tabs>
        <w:tab w:val="center" w:pos="4536"/>
        <w:tab w:val="right" w:pos="9072"/>
      </w:tabs>
    </w:pPr>
    <w:rPr>
      <w:lang w:val="en-US" w:eastAsia="en-US"/>
    </w:rPr>
  </w:style>
  <w:style w:type="character" w:customStyle="1" w:styleId="PieddepageCar">
    <w:name w:val="Pied de page Car"/>
    <w:basedOn w:val="Policepardfaut"/>
    <w:link w:val="Pieddepage"/>
    <w:uiPriority w:val="99"/>
    <w:locked/>
    <w:rsid w:val="00EF1C96"/>
    <w:rPr>
      <w:rFonts w:cs="Times New Roman"/>
      <w:sz w:val="24"/>
    </w:rPr>
  </w:style>
  <w:style w:type="character" w:styleId="Marquedecommentaire">
    <w:name w:val="annotation reference"/>
    <w:basedOn w:val="Policepardfaut"/>
    <w:uiPriority w:val="99"/>
    <w:semiHidden/>
    <w:rsid w:val="00825923"/>
    <w:rPr>
      <w:rFonts w:cs="Times New Roman"/>
      <w:sz w:val="16"/>
    </w:rPr>
  </w:style>
  <w:style w:type="paragraph" w:styleId="Commentaire">
    <w:name w:val="annotation text"/>
    <w:basedOn w:val="Normal"/>
    <w:link w:val="CommentaireCar"/>
    <w:uiPriority w:val="99"/>
    <w:semiHidden/>
    <w:rsid w:val="00825923"/>
    <w:rPr>
      <w:sz w:val="20"/>
      <w:szCs w:val="20"/>
      <w:lang w:val="en-US" w:eastAsia="en-US"/>
    </w:rPr>
  </w:style>
  <w:style w:type="character" w:customStyle="1" w:styleId="CommentaireCar">
    <w:name w:val="Commentaire Car"/>
    <w:basedOn w:val="Policepardfaut"/>
    <w:link w:val="Commentaire"/>
    <w:uiPriority w:val="99"/>
    <w:semiHidden/>
    <w:locked/>
    <w:rsid w:val="00EF1C96"/>
    <w:rPr>
      <w:rFonts w:cs="Times New Roman"/>
      <w:sz w:val="20"/>
    </w:rPr>
  </w:style>
  <w:style w:type="paragraph" w:styleId="Objetducommentaire">
    <w:name w:val="annotation subject"/>
    <w:basedOn w:val="Commentaire"/>
    <w:next w:val="Commentaire"/>
    <w:link w:val="ObjetducommentaireCar"/>
    <w:uiPriority w:val="99"/>
    <w:semiHidden/>
    <w:rsid w:val="00825923"/>
    <w:rPr>
      <w:b/>
      <w:bCs/>
    </w:rPr>
  </w:style>
  <w:style w:type="character" w:customStyle="1" w:styleId="ObjetducommentaireCar">
    <w:name w:val="Objet du commentaire Car"/>
    <w:basedOn w:val="CommentaireCar"/>
    <w:link w:val="Objetducommentaire"/>
    <w:uiPriority w:val="99"/>
    <w:semiHidden/>
    <w:locked/>
    <w:rsid w:val="00EF1C96"/>
    <w:rPr>
      <w:rFonts w:cs="Times New Roman"/>
      <w:b/>
      <w:sz w:val="20"/>
    </w:rPr>
  </w:style>
  <w:style w:type="paragraph" w:customStyle="1" w:styleId="CM8">
    <w:name w:val="CM8"/>
    <w:basedOn w:val="Default"/>
    <w:next w:val="Default"/>
    <w:uiPriority w:val="99"/>
    <w:rsid w:val="009F67A9"/>
    <w:rPr>
      <w:rFonts w:cs="Times New Roman"/>
      <w:color w:val="auto"/>
    </w:rPr>
  </w:style>
  <w:style w:type="paragraph" w:styleId="Explorateurdedocuments">
    <w:name w:val="Document Map"/>
    <w:basedOn w:val="Normal"/>
    <w:link w:val="ExplorateurdedocumentsCar"/>
    <w:uiPriority w:val="99"/>
    <w:semiHidden/>
    <w:rsid w:val="00E84672"/>
    <w:pPr>
      <w:shd w:val="clear" w:color="auto" w:fill="000080"/>
    </w:pPr>
    <w:rPr>
      <w:sz w:val="2"/>
      <w:szCs w:val="20"/>
      <w:lang w:val="en-US" w:eastAsia="en-US"/>
    </w:rPr>
  </w:style>
  <w:style w:type="character" w:customStyle="1" w:styleId="ExplorateurdedocumentsCar">
    <w:name w:val="Explorateur de documents Car"/>
    <w:basedOn w:val="Policepardfaut"/>
    <w:link w:val="Explorateurdedocuments"/>
    <w:uiPriority w:val="99"/>
    <w:semiHidden/>
    <w:locked/>
    <w:rsid w:val="00EF1C96"/>
    <w:rPr>
      <w:rFonts w:cs="Times New Roman"/>
      <w:sz w:val="2"/>
    </w:rPr>
  </w:style>
  <w:style w:type="character" w:customStyle="1" w:styleId="st1">
    <w:name w:val="st1"/>
    <w:uiPriority w:val="99"/>
    <w:rsid w:val="007B46AE"/>
  </w:style>
  <w:style w:type="paragraph" w:styleId="Rvision">
    <w:name w:val="Revision"/>
    <w:hidden/>
    <w:uiPriority w:val="99"/>
    <w:semiHidden/>
    <w:rsid w:val="00B912A8"/>
    <w:rPr>
      <w:sz w:val="24"/>
      <w:szCs w:val="24"/>
    </w:rPr>
  </w:style>
  <w:style w:type="paragraph" w:styleId="Paragraphedeliste">
    <w:name w:val="List Paragraph"/>
    <w:basedOn w:val="Normal"/>
    <w:uiPriority w:val="99"/>
    <w:qFormat/>
    <w:rsid w:val="00737907"/>
    <w:pPr>
      <w:spacing w:after="200" w:line="276" w:lineRule="auto"/>
      <w:ind w:left="720"/>
      <w:contextualSpacing/>
    </w:pPr>
    <w:rPr>
      <w:rFonts w:ascii="Calibri" w:hAnsi="Calibri"/>
      <w:sz w:val="22"/>
      <w:szCs w:val="22"/>
      <w:lang w:val="en-GB" w:eastAsia="en-US"/>
    </w:rPr>
  </w:style>
  <w:style w:type="paragraph" w:styleId="Notedebasdepage">
    <w:name w:val="footnote text"/>
    <w:basedOn w:val="Normal"/>
    <w:link w:val="NotedebasdepageCar"/>
    <w:uiPriority w:val="99"/>
    <w:rsid w:val="00BF14CC"/>
    <w:rPr>
      <w:sz w:val="20"/>
      <w:szCs w:val="20"/>
      <w:lang w:val="en-US" w:eastAsia="en-US"/>
    </w:rPr>
  </w:style>
  <w:style w:type="character" w:customStyle="1" w:styleId="NotedebasdepageCar">
    <w:name w:val="Note de bas de page Car"/>
    <w:basedOn w:val="Policepardfaut"/>
    <w:link w:val="Notedebasdepage"/>
    <w:uiPriority w:val="99"/>
    <w:locked/>
    <w:rsid w:val="00EF1C96"/>
    <w:rPr>
      <w:rFonts w:cs="Times New Roman"/>
      <w:sz w:val="20"/>
    </w:rPr>
  </w:style>
  <w:style w:type="character" w:styleId="Appelnotedebasdep">
    <w:name w:val="footnote reference"/>
    <w:basedOn w:val="Policepardfaut"/>
    <w:uiPriority w:val="99"/>
    <w:rsid w:val="00BF14CC"/>
    <w:rPr>
      <w:rFonts w:cs="Times New Roman"/>
      <w:vertAlign w:val="superscript"/>
    </w:rPr>
  </w:style>
  <w:style w:type="paragraph" w:styleId="Corpsdetexte">
    <w:name w:val="Body Text"/>
    <w:basedOn w:val="Normal"/>
    <w:link w:val="CorpsdetexteCar"/>
    <w:uiPriority w:val="99"/>
    <w:rsid w:val="00D51BC0"/>
    <w:rPr>
      <w:szCs w:val="20"/>
      <w:lang w:val="sv-SE" w:eastAsia="en-US"/>
    </w:rPr>
  </w:style>
  <w:style w:type="character" w:customStyle="1" w:styleId="CorpsdetexteCar">
    <w:name w:val="Corps de texte Car"/>
    <w:basedOn w:val="Policepardfaut"/>
    <w:link w:val="Corpsdetexte"/>
    <w:uiPriority w:val="99"/>
    <w:locked/>
    <w:rsid w:val="00D51BC0"/>
    <w:rPr>
      <w:rFonts w:eastAsia="Times New Roman" w:cs="Times New Roman"/>
      <w:sz w:val="24"/>
      <w:lang w:val="sv-SE" w:eastAsia="en-US"/>
    </w:rPr>
  </w:style>
  <w:style w:type="paragraph" w:styleId="Textebrut">
    <w:name w:val="Plain Text"/>
    <w:basedOn w:val="Normal"/>
    <w:link w:val="TextebrutCar"/>
    <w:uiPriority w:val="99"/>
    <w:rsid w:val="006C1B85"/>
    <w:rPr>
      <w:rFonts w:ascii="Arial" w:hAnsi="Arial"/>
      <w:sz w:val="21"/>
      <w:szCs w:val="21"/>
      <w:lang w:val="sv-SE" w:eastAsia="en-US"/>
    </w:rPr>
  </w:style>
  <w:style w:type="character" w:customStyle="1" w:styleId="TextebrutCar">
    <w:name w:val="Texte brut Car"/>
    <w:basedOn w:val="Policepardfaut"/>
    <w:link w:val="Textebrut"/>
    <w:uiPriority w:val="99"/>
    <w:locked/>
    <w:rsid w:val="006C1B85"/>
    <w:rPr>
      <w:rFonts w:ascii="Arial" w:hAnsi="Arial" w:cs="Times New Roman"/>
      <w:sz w:val="21"/>
      <w:lang w:val="sv-SE" w:eastAsia="en-US"/>
    </w:rPr>
  </w:style>
  <w:style w:type="paragraph" w:customStyle="1" w:styleId="CM3">
    <w:name w:val="CM3"/>
    <w:basedOn w:val="Default"/>
    <w:next w:val="Default"/>
    <w:uiPriority w:val="99"/>
    <w:rsid w:val="00AF44B0"/>
    <w:pPr>
      <w:widowControl w:val="0"/>
      <w:spacing w:line="268" w:lineRule="atLeast"/>
    </w:pPr>
    <w:rPr>
      <w:rFonts w:ascii="Calibri,Bold" w:hAnsi="Calibri,Bold" w:cs="Times New Roman"/>
      <w:color w:val="auto"/>
    </w:rPr>
  </w:style>
  <w:style w:type="paragraph" w:customStyle="1" w:styleId="CM14">
    <w:name w:val="CM14"/>
    <w:basedOn w:val="Default"/>
    <w:next w:val="Default"/>
    <w:uiPriority w:val="99"/>
    <w:rsid w:val="00AF44B0"/>
    <w:pPr>
      <w:widowControl w:val="0"/>
    </w:pPr>
    <w:rPr>
      <w:rFonts w:ascii="Calibri,Bold" w:hAnsi="Calibri,Bold" w:cs="Times New Roman"/>
      <w:color w:val="auto"/>
    </w:rPr>
  </w:style>
  <w:style w:type="paragraph" w:customStyle="1" w:styleId="CM7">
    <w:name w:val="CM7"/>
    <w:basedOn w:val="Default"/>
    <w:next w:val="Default"/>
    <w:uiPriority w:val="99"/>
    <w:rsid w:val="00AF44B0"/>
    <w:pPr>
      <w:widowControl w:val="0"/>
      <w:spacing w:line="268" w:lineRule="atLeast"/>
    </w:pPr>
    <w:rPr>
      <w:rFonts w:ascii="Calibri,Bold" w:hAnsi="Calibri,Bold" w:cs="Times New Roman"/>
      <w:color w:val="auto"/>
    </w:rPr>
  </w:style>
  <w:style w:type="table" w:styleId="Grilledutableau">
    <w:name w:val="Table Grid"/>
    <w:basedOn w:val="TableauNormal"/>
    <w:locked/>
    <w:rsid w:val="00596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442B1"/>
    <w:rPr>
      <w:color w:val="0000FF" w:themeColor="hyperlink"/>
      <w:u w:val="single"/>
    </w:rPr>
  </w:style>
  <w:style w:type="character" w:customStyle="1" w:styleId="hps">
    <w:name w:val="hps"/>
    <w:basedOn w:val="Policepardfaut"/>
    <w:rsid w:val="00A43A37"/>
  </w:style>
  <w:style w:type="paragraph" w:styleId="NormalWeb">
    <w:name w:val="Normal (Web)"/>
    <w:basedOn w:val="Normal"/>
    <w:uiPriority w:val="99"/>
    <w:unhideWhenUsed/>
    <w:rsid w:val="00066218"/>
    <w:pPr>
      <w:spacing w:before="100" w:beforeAutospacing="1" w:after="100" w:afterAutospacing="1"/>
    </w:pPr>
    <w:rPr>
      <w:lang w:val="fr-FR" w:eastAsia="fr-FR"/>
    </w:rPr>
  </w:style>
  <w:style w:type="character" w:styleId="Textedelespacerserv">
    <w:name w:val="Placeholder Text"/>
    <w:basedOn w:val="Policepardfaut"/>
    <w:uiPriority w:val="99"/>
    <w:semiHidden/>
    <w:rsid w:val="006351B0"/>
    <w:rPr>
      <w:color w:val="808080"/>
    </w:rPr>
  </w:style>
  <w:style w:type="paragraph" w:styleId="Lgende">
    <w:name w:val="caption"/>
    <w:basedOn w:val="Normal"/>
    <w:next w:val="Normal"/>
    <w:unhideWhenUsed/>
    <w:qFormat/>
    <w:locked/>
    <w:rsid w:val="0083145B"/>
    <w:pPr>
      <w:spacing w:after="200"/>
    </w:pPr>
    <w:rPr>
      <w:b/>
      <w:bCs/>
      <w:color w:val="4F81BD" w:themeColor="accent1"/>
      <w:sz w:val="18"/>
      <w:szCs w:val="18"/>
    </w:rPr>
  </w:style>
  <w:style w:type="character" w:customStyle="1" w:styleId="apple-converted-space">
    <w:name w:val="apple-converted-space"/>
    <w:basedOn w:val="Policepardfaut"/>
    <w:rsid w:val="00170E70"/>
  </w:style>
  <w:style w:type="paragraph" w:styleId="Sansinterligne">
    <w:name w:val="No Spacing"/>
    <w:uiPriority w:val="1"/>
    <w:qFormat/>
    <w:rsid w:val="00BB5F47"/>
    <w:rPr>
      <w:sz w:val="24"/>
      <w:szCs w:val="24"/>
    </w:rPr>
  </w:style>
  <w:style w:type="character" w:customStyle="1" w:styleId="Titre1Car">
    <w:name w:val="Titre 1 Car"/>
    <w:basedOn w:val="Policepardfaut"/>
    <w:link w:val="Titre1"/>
    <w:rsid w:val="00A83951"/>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A83951"/>
    <w:pPr>
      <w:spacing w:line="259" w:lineRule="auto"/>
      <w:outlineLvl w:val="9"/>
    </w:pPr>
    <w:rPr>
      <w:lang w:val="de-AT" w:eastAsia="de-AT"/>
    </w:rPr>
  </w:style>
  <w:style w:type="paragraph" w:styleId="TM1">
    <w:name w:val="toc 1"/>
    <w:basedOn w:val="Normal"/>
    <w:next w:val="Normal"/>
    <w:autoRedefine/>
    <w:uiPriority w:val="39"/>
    <w:qFormat/>
    <w:locked/>
    <w:rsid w:val="00014B56"/>
    <w:pPr>
      <w:tabs>
        <w:tab w:val="right" w:leader="dot" w:pos="9060"/>
      </w:tabs>
      <w:spacing w:after="100"/>
    </w:pPr>
  </w:style>
  <w:style w:type="paragraph" w:styleId="TM2">
    <w:name w:val="toc 2"/>
    <w:basedOn w:val="Normal"/>
    <w:next w:val="Normal"/>
    <w:autoRedefine/>
    <w:uiPriority w:val="39"/>
    <w:unhideWhenUsed/>
    <w:qFormat/>
    <w:locked/>
    <w:rsid w:val="00C075A5"/>
    <w:pPr>
      <w:spacing w:after="100" w:line="276" w:lineRule="auto"/>
      <w:ind w:left="220"/>
    </w:pPr>
    <w:rPr>
      <w:rFonts w:asciiTheme="minorHAnsi" w:eastAsiaTheme="minorEastAsia" w:hAnsiTheme="minorHAnsi" w:cstheme="minorBidi"/>
      <w:sz w:val="22"/>
      <w:szCs w:val="22"/>
      <w:lang w:val="de-AT" w:eastAsia="de-AT"/>
    </w:rPr>
  </w:style>
  <w:style w:type="paragraph" w:styleId="TM3">
    <w:name w:val="toc 3"/>
    <w:basedOn w:val="Normal"/>
    <w:next w:val="Normal"/>
    <w:autoRedefine/>
    <w:uiPriority w:val="39"/>
    <w:unhideWhenUsed/>
    <w:qFormat/>
    <w:locked/>
    <w:rsid w:val="00C075A5"/>
    <w:pPr>
      <w:spacing w:after="100" w:line="276" w:lineRule="auto"/>
      <w:ind w:left="440"/>
    </w:pPr>
    <w:rPr>
      <w:rFonts w:asciiTheme="minorHAnsi" w:eastAsiaTheme="minorEastAsia" w:hAnsiTheme="minorHAnsi" w:cstheme="minorBidi"/>
      <w:sz w:val="22"/>
      <w:szCs w:val="22"/>
      <w:lang w:val="de-AT" w:eastAsia="de-AT"/>
    </w:rPr>
  </w:style>
  <w:style w:type="character" w:styleId="Accentuation">
    <w:name w:val="Emphasis"/>
    <w:basedOn w:val="Policepardfaut"/>
    <w:qFormat/>
    <w:locked/>
    <w:rsid w:val="00EE4187"/>
    <w:rPr>
      <w:i/>
      <w:iCs/>
    </w:rPr>
  </w:style>
  <w:style w:type="character" w:styleId="ExempleHTML">
    <w:name w:val="HTML Sample"/>
    <w:basedOn w:val="Policepardfaut"/>
    <w:uiPriority w:val="99"/>
    <w:semiHidden/>
    <w:unhideWhenUsed/>
    <w:rsid w:val="0052306B"/>
    <w:rPr>
      <w:rFonts w:ascii="Courier New" w:eastAsia="Times New Roman" w:hAnsi="Courier New" w:cs="Courier New"/>
    </w:rPr>
  </w:style>
  <w:style w:type="paragraph" w:styleId="PrformatHTML">
    <w:name w:val="HTML Preformatted"/>
    <w:basedOn w:val="Normal"/>
    <w:link w:val="PrformatHTMLCar"/>
    <w:uiPriority w:val="99"/>
    <w:semiHidden/>
    <w:unhideWhenUsed/>
    <w:rsid w:val="0060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603038"/>
    <w:rPr>
      <w:rFonts w:ascii="Courier New" w:hAnsi="Courier New" w:cs="Courier New"/>
      <w:sz w:val="20"/>
      <w:szCs w:val="20"/>
      <w:lang w:val="fr-FR" w:eastAsia="fr-FR"/>
    </w:rPr>
  </w:style>
  <w:style w:type="paragraph" w:styleId="Sous-titre">
    <w:name w:val="Subtitle"/>
    <w:basedOn w:val="Normal"/>
    <w:next w:val="Normal"/>
    <w:link w:val="Sous-titreCar"/>
    <w:qFormat/>
    <w:locked/>
    <w:rsid w:val="00096A00"/>
    <w:pPr>
      <w:numPr>
        <w:ilvl w:val="1"/>
      </w:numPr>
      <w:spacing w:line="360" w:lineRule="auto"/>
    </w:pPr>
    <w:rPr>
      <w:rFonts w:eastAsiaTheme="majorEastAsia"/>
      <w:b/>
      <w:iCs/>
      <w:spacing w:val="15"/>
    </w:rPr>
  </w:style>
  <w:style w:type="character" w:customStyle="1" w:styleId="Sous-titreCar">
    <w:name w:val="Sous-titre Car"/>
    <w:basedOn w:val="Policepardfaut"/>
    <w:link w:val="Sous-titre"/>
    <w:rsid w:val="00096A00"/>
    <w:rPr>
      <w:rFonts w:eastAsiaTheme="majorEastAsia"/>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737">
      <w:bodyDiv w:val="1"/>
      <w:marLeft w:val="0"/>
      <w:marRight w:val="0"/>
      <w:marTop w:val="0"/>
      <w:marBottom w:val="0"/>
      <w:divBdr>
        <w:top w:val="none" w:sz="0" w:space="0" w:color="auto"/>
        <w:left w:val="none" w:sz="0" w:space="0" w:color="auto"/>
        <w:bottom w:val="none" w:sz="0" w:space="0" w:color="auto"/>
        <w:right w:val="none" w:sz="0" w:space="0" w:color="auto"/>
      </w:divBdr>
    </w:div>
    <w:div w:id="115607922">
      <w:bodyDiv w:val="1"/>
      <w:marLeft w:val="0"/>
      <w:marRight w:val="0"/>
      <w:marTop w:val="0"/>
      <w:marBottom w:val="0"/>
      <w:divBdr>
        <w:top w:val="none" w:sz="0" w:space="0" w:color="auto"/>
        <w:left w:val="none" w:sz="0" w:space="0" w:color="auto"/>
        <w:bottom w:val="none" w:sz="0" w:space="0" w:color="auto"/>
        <w:right w:val="none" w:sz="0" w:space="0" w:color="auto"/>
      </w:divBdr>
    </w:div>
    <w:div w:id="123278044">
      <w:bodyDiv w:val="1"/>
      <w:marLeft w:val="0"/>
      <w:marRight w:val="0"/>
      <w:marTop w:val="0"/>
      <w:marBottom w:val="0"/>
      <w:divBdr>
        <w:top w:val="none" w:sz="0" w:space="0" w:color="auto"/>
        <w:left w:val="none" w:sz="0" w:space="0" w:color="auto"/>
        <w:bottom w:val="none" w:sz="0" w:space="0" w:color="auto"/>
        <w:right w:val="none" w:sz="0" w:space="0" w:color="auto"/>
      </w:divBdr>
    </w:div>
    <w:div w:id="132212751">
      <w:bodyDiv w:val="1"/>
      <w:marLeft w:val="0"/>
      <w:marRight w:val="0"/>
      <w:marTop w:val="0"/>
      <w:marBottom w:val="0"/>
      <w:divBdr>
        <w:top w:val="none" w:sz="0" w:space="0" w:color="auto"/>
        <w:left w:val="none" w:sz="0" w:space="0" w:color="auto"/>
        <w:bottom w:val="none" w:sz="0" w:space="0" w:color="auto"/>
        <w:right w:val="none" w:sz="0" w:space="0" w:color="auto"/>
      </w:divBdr>
      <w:divsChild>
        <w:div w:id="409036515">
          <w:marLeft w:val="1166"/>
          <w:marRight w:val="0"/>
          <w:marTop w:val="67"/>
          <w:marBottom w:val="0"/>
          <w:divBdr>
            <w:top w:val="none" w:sz="0" w:space="0" w:color="auto"/>
            <w:left w:val="none" w:sz="0" w:space="0" w:color="auto"/>
            <w:bottom w:val="none" w:sz="0" w:space="0" w:color="auto"/>
            <w:right w:val="none" w:sz="0" w:space="0" w:color="auto"/>
          </w:divBdr>
        </w:div>
        <w:div w:id="544950411">
          <w:marLeft w:val="1166"/>
          <w:marRight w:val="0"/>
          <w:marTop w:val="67"/>
          <w:marBottom w:val="0"/>
          <w:divBdr>
            <w:top w:val="none" w:sz="0" w:space="0" w:color="auto"/>
            <w:left w:val="none" w:sz="0" w:space="0" w:color="auto"/>
            <w:bottom w:val="none" w:sz="0" w:space="0" w:color="auto"/>
            <w:right w:val="none" w:sz="0" w:space="0" w:color="auto"/>
          </w:divBdr>
        </w:div>
        <w:div w:id="1855876901">
          <w:marLeft w:val="1166"/>
          <w:marRight w:val="0"/>
          <w:marTop w:val="67"/>
          <w:marBottom w:val="0"/>
          <w:divBdr>
            <w:top w:val="none" w:sz="0" w:space="0" w:color="auto"/>
            <w:left w:val="none" w:sz="0" w:space="0" w:color="auto"/>
            <w:bottom w:val="none" w:sz="0" w:space="0" w:color="auto"/>
            <w:right w:val="none" w:sz="0" w:space="0" w:color="auto"/>
          </w:divBdr>
        </w:div>
        <w:div w:id="1889031610">
          <w:marLeft w:val="1166"/>
          <w:marRight w:val="0"/>
          <w:marTop w:val="67"/>
          <w:marBottom w:val="0"/>
          <w:divBdr>
            <w:top w:val="none" w:sz="0" w:space="0" w:color="auto"/>
            <w:left w:val="none" w:sz="0" w:space="0" w:color="auto"/>
            <w:bottom w:val="none" w:sz="0" w:space="0" w:color="auto"/>
            <w:right w:val="none" w:sz="0" w:space="0" w:color="auto"/>
          </w:divBdr>
        </w:div>
      </w:divsChild>
    </w:div>
    <w:div w:id="165366985">
      <w:bodyDiv w:val="1"/>
      <w:marLeft w:val="0"/>
      <w:marRight w:val="0"/>
      <w:marTop w:val="0"/>
      <w:marBottom w:val="0"/>
      <w:divBdr>
        <w:top w:val="none" w:sz="0" w:space="0" w:color="auto"/>
        <w:left w:val="none" w:sz="0" w:space="0" w:color="auto"/>
        <w:bottom w:val="none" w:sz="0" w:space="0" w:color="auto"/>
        <w:right w:val="none" w:sz="0" w:space="0" w:color="auto"/>
      </w:divBdr>
    </w:div>
    <w:div w:id="169174620">
      <w:bodyDiv w:val="1"/>
      <w:marLeft w:val="0"/>
      <w:marRight w:val="0"/>
      <w:marTop w:val="0"/>
      <w:marBottom w:val="0"/>
      <w:divBdr>
        <w:top w:val="none" w:sz="0" w:space="0" w:color="auto"/>
        <w:left w:val="none" w:sz="0" w:space="0" w:color="auto"/>
        <w:bottom w:val="none" w:sz="0" w:space="0" w:color="auto"/>
        <w:right w:val="none" w:sz="0" w:space="0" w:color="auto"/>
      </w:divBdr>
      <w:divsChild>
        <w:div w:id="1985309884">
          <w:marLeft w:val="0"/>
          <w:marRight w:val="0"/>
          <w:marTop w:val="0"/>
          <w:marBottom w:val="0"/>
          <w:divBdr>
            <w:top w:val="none" w:sz="0" w:space="0" w:color="auto"/>
            <w:left w:val="none" w:sz="0" w:space="0" w:color="auto"/>
            <w:bottom w:val="none" w:sz="0" w:space="0" w:color="auto"/>
            <w:right w:val="none" w:sz="0" w:space="0" w:color="auto"/>
          </w:divBdr>
          <w:divsChild>
            <w:div w:id="111558794">
              <w:marLeft w:val="0"/>
              <w:marRight w:val="0"/>
              <w:marTop w:val="0"/>
              <w:marBottom w:val="0"/>
              <w:divBdr>
                <w:top w:val="none" w:sz="0" w:space="0" w:color="auto"/>
                <w:left w:val="none" w:sz="0" w:space="0" w:color="auto"/>
                <w:bottom w:val="none" w:sz="0" w:space="0" w:color="auto"/>
                <w:right w:val="none" w:sz="0" w:space="0" w:color="auto"/>
              </w:divBdr>
              <w:divsChild>
                <w:div w:id="701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6634">
      <w:bodyDiv w:val="1"/>
      <w:marLeft w:val="0"/>
      <w:marRight w:val="0"/>
      <w:marTop w:val="0"/>
      <w:marBottom w:val="0"/>
      <w:divBdr>
        <w:top w:val="none" w:sz="0" w:space="0" w:color="auto"/>
        <w:left w:val="none" w:sz="0" w:space="0" w:color="auto"/>
        <w:bottom w:val="none" w:sz="0" w:space="0" w:color="auto"/>
        <w:right w:val="none" w:sz="0" w:space="0" w:color="auto"/>
      </w:divBdr>
    </w:div>
    <w:div w:id="333192152">
      <w:bodyDiv w:val="1"/>
      <w:marLeft w:val="0"/>
      <w:marRight w:val="0"/>
      <w:marTop w:val="0"/>
      <w:marBottom w:val="0"/>
      <w:divBdr>
        <w:top w:val="none" w:sz="0" w:space="0" w:color="auto"/>
        <w:left w:val="none" w:sz="0" w:space="0" w:color="auto"/>
        <w:bottom w:val="none" w:sz="0" w:space="0" w:color="auto"/>
        <w:right w:val="none" w:sz="0" w:space="0" w:color="auto"/>
      </w:divBdr>
    </w:div>
    <w:div w:id="335622149">
      <w:bodyDiv w:val="1"/>
      <w:marLeft w:val="0"/>
      <w:marRight w:val="0"/>
      <w:marTop w:val="0"/>
      <w:marBottom w:val="0"/>
      <w:divBdr>
        <w:top w:val="none" w:sz="0" w:space="0" w:color="auto"/>
        <w:left w:val="none" w:sz="0" w:space="0" w:color="auto"/>
        <w:bottom w:val="none" w:sz="0" w:space="0" w:color="auto"/>
        <w:right w:val="none" w:sz="0" w:space="0" w:color="auto"/>
      </w:divBdr>
    </w:div>
    <w:div w:id="488520402">
      <w:bodyDiv w:val="1"/>
      <w:marLeft w:val="0"/>
      <w:marRight w:val="0"/>
      <w:marTop w:val="0"/>
      <w:marBottom w:val="0"/>
      <w:divBdr>
        <w:top w:val="none" w:sz="0" w:space="0" w:color="auto"/>
        <w:left w:val="none" w:sz="0" w:space="0" w:color="auto"/>
        <w:bottom w:val="none" w:sz="0" w:space="0" w:color="auto"/>
        <w:right w:val="none" w:sz="0" w:space="0" w:color="auto"/>
      </w:divBdr>
    </w:div>
    <w:div w:id="552736082">
      <w:bodyDiv w:val="1"/>
      <w:marLeft w:val="0"/>
      <w:marRight w:val="0"/>
      <w:marTop w:val="0"/>
      <w:marBottom w:val="0"/>
      <w:divBdr>
        <w:top w:val="none" w:sz="0" w:space="0" w:color="auto"/>
        <w:left w:val="none" w:sz="0" w:space="0" w:color="auto"/>
        <w:bottom w:val="none" w:sz="0" w:space="0" w:color="auto"/>
        <w:right w:val="none" w:sz="0" w:space="0" w:color="auto"/>
      </w:divBdr>
    </w:div>
    <w:div w:id="626396339">
      <w:bodyDiv w:val="1"/>
      <w:marLeft w:val="0"/>
      <w:marRight w:val="0"/>
      <w:marTop w:val="0"/>
      <w:marBottom w:val="0"/>
      <w:divBdr>
        <w:top w:val="none" w:sz="0" w:space="0" w:color="auto"/>
        <w:left w:val="none" w:sz="0" w:space="0" w:color="auto"/>
        <w:bottom w:val="none" w:sz="0" w:space="0" w:color="auto"/>
        <w:right w:val="none" w:sz="0" w:space="0" w:color="auto"/>
      </w:divBdr>
    </w:div>
    <w:div w:id="661545392">
      <w:bodyDiv w:val="1"/>
      <w:marLeft w:val="0"/>
      <w:marRight w:val="0"/>
      <w:marTop w:val="0"/>
      <w:marBottom w:val="0"/>
      <w:divBdr>
        <w:top w:val="none" w:sz="0" w:space="0" w:color="auto"/>
        <w:left w:val="none" w:sz="0" w:space="0" w:color="auto"/>
        <w:bottom w:val="none" w:sz="0" w:space="0" w:color="auto"/>
        <w:right w:val="none" w:sz="0" w:space="0" w:color="auto"/>
      </w:divBdr>
    </w:div>
    <w:div w:id="757093274">
      <w:bodyDiv w:val="1"/>
      <w:marLeft w:val="0"/>
      <w:marRight w:val="0"/>
      <w:marTop w:val="0"/>
      <w:marBottom w:val="0"/>
      <w:divBdr>
        <w:top w:val="none" w:sz="0" w:space="0" w:color="auto"/>
        <w:left w:val="none" w:sz="0" w:space="0" w:color="auto"/>
        <w:bottom w:val="none" w:sz="0" w:space="0" w:color="auto"/>
        <w:right w:val="none" w:sz="0" w:space="0" w:color="auto"/>
      </w:divBdr>
    </w:div>
    <w:div w:id="788857452">
      <w:bodyDiv w:val="1"/>
      <w:marLeft w:val="0"/>
      <w:marRight w:val="0"/>
      <w:marTop w:val="0"/>
      <w:marBottom w:val="0"/>
      <w:divBdr>
        <w:top w:val="none" w:sz="0" w:space="0" w:color="auto"/>
        <w:left w:val="none" w:sz="0" w:space="0" w:color="auto"/>
        <w:bottom w:val="none" w:sz="0" w:space="0" w:color="auto"/>
        <w:right w:val="none" w:sz="0" w:space="0" w:color="auto"/>
      </w:divBdr>
    </w:div>
    <w:div w:id="807556615">
      <w:bodyDiv w:val="1"/>
      <w:marLeft w:val="0"/>
      <w:marRight w:val="0"/>
      <w:marTop w:val="0"/>
      <w:marBottom w:val="0"/>
      <w:divBdr>
        <w:top w:val="none" w:sz="0" w:space="0" w:color="auto"/>
        <w:left w:val="none" w:sz="0" w:space="0" w:color="auto"/>
        <w:bottom w:val="none" w:sz="0" w:space="0" w:color="auto"/>
        <w:right w:val="none" w:sz="0" w:space="0" w:color="auto"/>
      </w:divBdr>
    </w:div>
    <w:div w:id="847789459">
      <w:bodyDiv w:val="1"/>
      <w:marLeft w:val="0"/>
      <w:marRight w:val="0"/>
      <w:marTop w:val="0"/>
      <w:marBottom w:val="0"/>
      <w:divBdr>
        <w:top w:val="none" w:sz="0" w:space="0" w:color="auto"/>
        <w:left w:val="none" w:sz="0" w:space="0" w:color="auto"/>
        <w:bottom w:val="none" w:sz="0" w:space="0" w:color="auto"/>
        <w:right w:val="none" w:sz="0" w:space="0" w:color="auto"/>
      </w:divBdr>
    </w:div>
    <w:div w:id="906650348">
      <w:bodyDiv w:val="1"/>
      <w:marLeft w:val="0"/>
      <w:marRight w:val="0"/>
      <w:marTop w:val="0"/>
      <w:marBottom w:val="0"/>
      <w:divBdr>
        <w:top w:val="none" w:sz="0" w:space="0" w:color="auto"/>
        <w:left w:val="none" w:sz="0" w:space="0" w:color="auto"/>
        <w:bottom w:val="none" w:sz="0" w:space="0" w:color="auto"/>
        <w:right w:val="none" w:sz="0" w:space="0" w:color="auto"/>
      </w:divBdr>
    </w:div>
    <w:div w:id="1001470093">
      <w:bodyDiv w:val="1"/>
      <w:marLeft w:val="0"/>
      <w:marRight w:val="0"/>
      <w:marTop w:val="0"/>
      <w:marBottom w:val="0"/>
      <w:divBdr>
        <w:top w:val="none" w:sz="0" w:space="0" w:color="auto"/>
        <w:left w:val="none" w:sz="0" w:space="0" w:color="auto"/>
        <w:bottom w:val="none" w:sz="0" w:space="0" w:color="auto"/>
        <w:right w:val="none" w:sz="0" w:space="0" w:color="auto"/>
      </w:divBdr>
    </w:div>
    <w:div w:id="1048380982">
      <w:bodyDiv w:val="1"/>
      <w:marLeft w:val="0"/>
      <w:marRight w:val="0"/>
      <w:marTop w:val="0"/>
      <w:marBottom w:val="0"/>
      <w:divBdr>
        <w:top w:val="none" w:sz="0" w:space="0" w:color="auto"/>
        <w:left w:val="none" w:sz="0" w:space="0" w:color="auto"/>
        <w:bottom w:val="none" w:sz="0" w:space="0" w:color="auto"/>
        <w:right w:val="none" w:sz="0" w:space="0" w:color="auto"/>
      </w:divBdr>
    </w:div>
    <w:div w:id="1132476225">
      <w:bodyDiv w:val="1"/>
      <w:marLeft w:val="0"/>
      <w:marRight w:val="0"/>
      <w:marTop w:val="0"/>
      <w:marBottom w:val="0"/>
      <w:divBdr>
        <w:top w:val="none" w:sz="0" w:space="0" w:color="auto"/>
        <w:left w:val="none" w:sz="0" w:space="0" w:color="auto"/>
        <w:bottom w:val="none" w:sz="0" w:space="0" w:color="auto"/>
        <w:right w:val="none" w:sz="0" w:space="0" w:color="auto"/>
      </w:divBdr>
    </w:div>
    <w:div w:id="1136491863">
      <w:bodyDiv w:val="1"/>
      <w:marLeft w:val="0"/>
      <w:marRight w:val="0"/>
      <w:marTop w:val="0"/>
      <w:marBottom w:val="0"/>
      <w:divBdr>
        <w:top w:val="none" w:sz="0" w:space="0" w:color="auto"/>
        <w:left w:val="none" w:sz="0" w:space="0" w:color="auto"/>
        <w:bottom w:val="none" w:sz="0" w:space="0" w:color="auto"/>
        <w:right w:val="none" w:sz="0" w:space="0" w:color="auto"/>
      </w:divBdr>
    </w:div>
    <w:div w:id="1149832096">
      <w:bodyDiv w:val="1"/>
      <w:marLeft w:val="0"/>
      <w:marRight w:val="0"/>
      <w:marTop w:val="0"/>
      <w:marBottom w:val="0"/>
      <w:divBdr>
        <w:top w:val="none" w:sz="0" w:space="0" w:color="auto"/>
        <w:left w:val="none" w:sz="0" w:space="0" w:color="auto"/>
        <w:bottom w:val="none" w:sz="0" w:space="0" w:color="auto"/>
        <w:right w:val="none" w:sz="0" w:space="0" w:color="auto"/>
      </w:divBdr>
    </w:div>
    <w:div w:id="1154637339">
      <w:bodyDiv w:val="1"/>
      <w:marLeft w:val="0"/>
      <w:marRight w:val="0"/>
      <w:marTop w:val="0"/>
      <w:marBottom w:val="0"/>
      <w:divBdr>
        <w:top w:val="none" w:sz="0" w:space="0" w:color="auto"/>
        <w:left w:val="none" w:sz="0" w:space="0" w:color="auto"/>
        <w:bottom w:val="none" w:sz="0" w:space="0" w:color="auto"/>
        <w:right w:val="none" w:sz="0" w:space="0" w:color="auto"/>
      </w:divBdr>
    </w:div>
    <w:div w:id="1211652866">
      <w:bodyDiv w:val="1"/>
      <w:marLeft w:val="0"/>
      <w:marRight w:val="0"/>
      <w:marTop w:val="0"/>
      <w:marBottom w:val="0"/>
      <w:divBdr>
        <w:top w:val="none" w:sz="0" w:space="0" w:color="auto"/>
        <w:left w:val="none" w:sz="0" w:space="0" w:color="auto"/>
        <w:bottom w:val="none" w:sz="0" w:space="0" w:color="auto"/>
        <w:right w:val="none" w:sz="0" w:space="0" w:color="auto"/>
      </w:divBdr>
    </w:div>
    <w:div w:id="1263106673">
      <w:bodyDiv w:val="1"/>
      <w:marLeft w:val="0"/>
      <w:marRight w:val="0"/>
      <w:marTop w:val="0"/>
      <w:marBottom w:val="0"/>
      <w:divBdr>
        <w:top w:val="none" w:sz="0" w:space="0" w:color="auto"/>
        <w:left w:val="none" w:sz="0" w:space="0" w:color="auto"/>
        <w:bottom w:val="none" w:sz="0" w:space="0" w:color="auto"/>
        <w:right w:val="none" w:sz="0" w:space="0" w:color="auto"/>
      </w:divBdr>
    </w:div>
    <w:div w:id="1276981278">
      <w:bodyDiv w:val="1"/>
      <w:marLeft w:val="0"/>
      <w:marRight w:val="0"/>
      <w:marTop w:val="0"/>
      <w:marBottom w:val="0"/>
      <w:divBdr>
        <w:top w:val="none" w:sz="0" w:space="0" w:color="auto"/>
        <w:left w:val="none" w:sz="0" w:space="0" w:color="auto"/>
        <w:bottom w:val="none" w:sz="0" w:space="0" w:color="auto"/>
        <w:right w:val="none" w:sz="0" w:space="0" w:color="auto"/>
      </w:divBdr>
    </w:div>
    <w:div w:id="1406344696">
      <w:bodyDiv w:val="1"/>
      <w:marLeft w:val="0"/>
      <w:marRight w:val="0"/>
      <w:marTop w:val="0"/>
      <w:marBottom w:val="0"/>
      <w:divBdr>
        <w:top w:val="none" w:sz="0" w:space="0" w:color="auto"/>
        <w:left w:val="none" w:sz="0" w:space="0" w:color="auto"/>
        <w:bottom w:val="none" w:sz="0" w:space="0" w:color="auto"/>
        <w:right w:val="none" w:sz="0" w:space="0" w:color="auto"/>
      </w:divBdr>
    </w:div>
    <w:div w:id="1549688198">
      <w:bodyDiv w:val="1"/>
      <w:marLeft w:val="0"/>
      <w:marRight w:val="0"/>
      <w:marTop w:val="0"/>
      <w:marBottom w:val="0"/>
      <w:divBdr>
        <w:top w:val="none" w:sz="0" w:space="0" w:color="auto"/>
        <w:left w:val="none" w:sz="0" w:space="0" w:color="auto"/>
        <w:bottom w:val="none" w:sz="0" w:space="0" w:color="auto"/>
        <w:right w:val="none" w:sz="0" w:space="0" w:color="auto"/>
      </w:divBdr>
    </w:div>
    <w:div w:id="1597783849">
      <w:bodyDiv w:val="1"/>
      <w:marLeft w:val="0"/>
      <w:marRight w:val="0"/>
      <w:marTop w:val="0"/>
      <w:marBottom w:val="0"/>
      <w:divBdr>
        <w:top w:val="none" w:sz="0" w:space="0" w:color="auto"/>
        <w:left w:val="none" w:sz="0" w:space="0" w:color="auto"/>
        <w:bottom w:val="none" w:sz="0" w:space="0" w:color="auto"/>
        <w:right w:val="none" w:sz="0" w:space="0" w:color="auto"/>
      </w:divBdr>
    </w:div>
    <w:div w:id="1652640344">
      <w:marLeft w:val="0"/>
      <w:marRight w:val="0"/>
      <w:marTop w:val="0"/>
      <w:marBottom w:val="0"/>
      <w:divBdr>
        <w:top w:val="none" w:sz="0" w:space="0" w:color="auto"/>
        <w:left w:val="none" w:sz="0" w:space="0" w:color="auto"/>
        <w:bottom w:val="none" w:sz="0" w:space="0" w:color="auto"/>
        <w:right w:val="none" w:sz="0" w:space="0" w:color="auto"/>
      </w:divBdr>
    </w:div>
    <w:div w:id="1652640345">
      <w:marLeft w:val="0"/>
      <w:marRight w:val="0"/>
      <w:marTop w:val="0"/>
      <w:marBottom w:val="0"/>
      <w:divBdr>
        <w:top w:val="none" w:sz="0" w:space="0" w:color="auto"/>
        <w:left w:val="none" w:sz="0" w:space="0" w:color="auto"/>
        <w:bottom w:val="none" w:sz="0" w:space="0" w:color="auto"/>
        <w:right w:val="none" w:sz="0" w:space="0" w:color="auto"/>
      </w:divBdr>
    </w:div>
    <w:div w:id="1652640346">
      <w:marLeft w:val="0"/>
      <w:marRight w:val="0"/>
      <w:marTop w:val="0"/>
      <w:marBottom w:val="0"/>
      <w:divBdr>
        <w:top w:val="none" w:sz="0" w:space="0" w:color="auto"/>
        <w:left w:val="none" w:sz="0" w:space="0" w:color="auto"/>
        <w:bottom w:val="none" w:sz="0" w:space="0" w:color="auto"/>
        <w:right w:val="none" w:sz="0" w:space="0" w:color="auto"/>
      </w:divBdr>
    </w:div>
    <w:div w:id="1652640347">
      <w:marLeft w:val="0"/>
      <w:marRight w:val="0"/>
      <w:marTop w:val="0"/>
      <w:marBottom w:val="0"/>
      <w:divBdr>
        <w:top w:val="none" w:sz="0" w:space="0" w:color="auto"/>
        <w:left w:val="none" w:sz="0" w:space="0" w:color="auto"/>
        <w:bottom w:val="none" w:sz="0" w:space="0" w:color="auto"/>
        <w:right w:val="none" w:sz="0" w:space="0" w:color="auto"/>
      </w:divBdr>
    </w:div>
    <w:div w:id="1652640356">
      <w:marLeft w:val="0"/>
      <w:marRight w:val="0"/>
      <w:marTop w:val="0"/>
      <w:marBottom w:val="0"/>
      <w:divBdr>
        <w:top w:val="none" w:sz="0" w:space="0" w:color="auto"/>
        <w:left w:val="none" w:sz="0" w:space="0" w:color="auto"/>
        <w:bottom w:val="none" w:sz="0" w:space="0" w:color="auto"/>
        <w:right w:val="none" w:sz="0" w:space="0" w:color="auto"/>
      </w:divBdr>
      <w:divsChild>
        <w:div w:id="1652640363">
          <w:marLeft w:val="0"/>
          <w:marRight w:val="0"/>
          <w:marTop w:val="0"/>
          <w:marBottom w:val="0"/>
          <w:divBdr>
            <w:top w:val="none" w:sz="0" w:space="0" w:color="auto"/>
            <w:left w:val="none" w:sz="0" w:space="0" w:color="auto"/>
            <w:bottom w:val="none" w:sz="0" w:space="0" w:color="auto"/>
            <w:right w:val="none" w:sz="0" w:space="0" w:color="auto"/>
          </w:divBdr>
          <w:divsChild>
            <w:div w:id="1652640359">
              <w:marLeft w:val="0"/>
              <w:marRight w:val="0"/>
              <w:marTop w:val="0"/>
              <w:marBottom w:val="0"/>
              <w:divBdr>
                <w:top w:val="none" w:sz="0" w:space="0" w:color="auto"/>
                <w:left w:val="none" w:sz="0" w:space="0" w:color="auto"/>
                <w:bottom w:val="none" w:sz="0" w:space="0" w:color="auto"/>
                <w:right w:val="none" w:sz="0" w:space="0" w:color="auto"/>
              </w:divBdr>
            </w:div>
            <w:div w:id="1652640372">
              <w:marLeft w:val="0"/>
              <w:marRight w:val="0"/>
              <w:marTop w:val="0"/>
              <w:marBottom w:val="0"/>
              <w:divBdr>
                <w:top w:val="none" w:sz="0" w:space="0" w:color="auto"/>
                <w:left w:val="none" w:sz="0" w:space="0" w:color="auto"/>
                <w:bottom w:val="none" w:sz="0" w:space="0" w:color="auto"/>
                <w:right w:val="none" w:sz="0" w:space="0" w:color="auto"/>
              </w:divBdr>
            </w:div>
            <w:div w:id="1652640373">
              <w:marLeft w:val="0"/>
              <w:marRight w:val="0"/>
              <w:marTop w:val="0"/>
              <w:marBottom w:val="0"/>
              <w:divBdr>
                <w:top w:val="none" w:sz="0" w:space="0" w:color="auto"/>
                <w:left w:val="none" w:sz="0" w:space="0" w:color="auto"/>
                <w:bottom w:val="none" w:sz="0" w:space="0" w:color="auto"/>
                <w:right w:val="none" w:sz="0" w:space="0" w:color="auto"/>
              </w:divBdr>
            </w:div>
            <w:div w:id="1652640375">
              <w:marLeft w:val="0"/>
              <w:marRight w:val="0"/>
              <w:marTop w:val="0"/>
              <w:marBottom w:val="0"/>
              <w:divBdr>
                <w:top w:val="none" w:sz="0" w:space="0" w:color="auto"/>
                <w:left w:val="none" w:sz="0" w:space="0" w:color="auto"/>
                <w:bottom w:val="none" w:sz="0" w:space="0" w:color="auto"/>
                <w:right w:val="none" w:sz="0" w:space="0" w:color="auto"/>
              </w:divBdr>
            </w:div>
            <w:div w:id="16526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40364">
      <w:marLeft w:val="0"/>
      <w:marRight w:val="0"/>
      <w:marTop w:val="0"/>
      <w:marBottom w:val="0"/>
      <w:divBdr>
        <w:top w:val="none" w:sz="0" w:space="0" w:color="auto"/>
        <w:left w:val="none" w:sz="0" w:space="0" w:color="auto"/>
        <w:bottom w:val="none" w:sz="0" w:space="0" w:color="auto"/>
        <w:right w:val="none" w:sz="0" w:space="0" w:color="auto"/>
      </w:divBdr>
      <w:divsChild>
        <w:div w:id="1652640374">
          <w:marLeft w:val="0"/>
          <w:marRight w:val="0"/>
          <w:marTop w:val="0"/>
          <w:marBottom w:val="0"/>
          <w:divBdr>
            <w:top w:val="none" w:sz="0" w:space="0" w:color="auto"/>
            <w:left w:val="none" w:sz="0" w:space="0" w:color="auto"/>
            <w:bottom w:val="none" w:sz="0" w:space="0" w:color="auto"/>
            <w:right w:val="none" w:sz="0" w:space="0" w:color="auto"/>
          </w:divBdr>
          <w:divsChild>
            <w:div w:id="1652640348">
              <w:marLeft w:val="0"/>
              <w:marRight w:val="0"/>
              <w:marTop w:val="0"/>
              <w:marBottom w:val="0"/>
              <w:divBdr>
                <w:top w:val="none" w:sz="0" w:space="0" w:color="auto"/>
                <w:left w:val="none" w:sz="0" w:space="0" w:color="auto"/>
                <w:bottom w:val="none" w:sz="0" w:space="0" w:color="auto"/>
                <w:right w:val="none" w:sz="0" w:space="0" w:color="auto"/>
              </w:divBdr>
            </w:div>
            <w:div w:id="1652640349">
              <w:marLeft w:val="0"/>
              <w:marRight w:val="0"/>
              <w:marTop w:val="0"/>
              <w:marBottom w:val="0"/>
              <w:divBdr>
                <w:top w:val="none" w:sz="0" w:space="0" w:color="auto"/>
                <w:left w:val="none" w:sz="0" w:space="0" w:color="auto"/>
                <w:bottom w:val="none" w:sz="0" w:space="0" w:color="auto"/>
                <w:right w:val="none" w:sz="0" w:space="0" w:color="auto"/>
              </w:divBdr>
            </w:div>
            <w:div w:id="1652640353">
              <w:marLeft w:val="0"/>
              <w:marRight w:val="0"/>
              <w:marTop w:val="0"/>
              <w:marBottom w:val="0"/>
              <w:divBdr>
                <w:top w:val="none" w:sz="0" w:space="0" w:color="auto"/>
                <w:left w:val="none" w:sz="0" w:space="0" w:color="auto"/>
                <w:bottom w:val="none" w:sz="0" w:space="0" w:color="auto"/>
                <w:right w:val="none" w:sz="0" w:space="0" w:color="auto"/>
              </w:divBdr>
            </w:div>
            <w:div w:id="1652640355">
              <w:marLeft w:val="0"/>
              <w:marRight w:val="0"/>
              <w:marTop w:val="0"/>
              <w:marBottom w:val="0"/>
              <w:divBdr>
                <w:top w:val="none" w:sz="0" w:space="0" w:color="auto"/>
                <w:left w:val="none" w:sz="0" w:space="0" w:color="auto"/>
                <w:bottom w:val="none" w:sz="0" w:space="0" w:color="auto"/>
                <w:right w:val="none" w:sz="0" w:space="0" w:color="auto"/>
              </w:divBdr>
            </w:div>
            <w:div w:id="1652640357">
              <w:marLeft w:val="0"/>
              <w:marRight w:val="0"/>
              <w:marTop w:val="0"/>
              <w:marBottom w:val="0"/>
              <w:divBdr>
                <w:top w:val="none" w:sz="0" w:space="0" w:color="auto"/>
                <w:left w:val="none" w:sz="0" w:space="0" w:color="auto"/>
                <w:bottom w:val="none" w:sz="0" w:space="0" w:color="auto"/>
                <w:right w:val="none" w:sz="0" w:space="0" w:color="auto"/>
              </w:divBdr>
            </w:div>
            <w:div w:id="1652640358">
              <w:marLeft w:val="0"/>
              <w:marRight w:val="0"/>
              <w:marTop w:val="0"/>
              <w:marBottom w:val="0"/>
              <w:divBdr>
                <w:top w:val="none" w:sz="0" w:space="0" w:color="auto"/>
                <w:left w:val="none" w:sz="0" w:space="0" w:color="auto"/>
                <w:bottom w:val="none" w:sz="0" w:space="0" w:color="auto"/>
                <w:right w:val="none" w:sz="0" w:space="0" w:color="auto"/>
              </w:divBdr>
            </w:div>
            <w:div w:id="1652640360">
              <w:marLeft w:val="0"/>
              <w:marRight w:val="0"/>
              <w:marTop w:val="0"/>
              <w:marBottom w:val="0"/>
              <w:divBdr>
                <w:top w:val="none" w:sz="0" w:space="0" w:color="auto"/>
                <w:left w:val="none" w:sz="0" w:space="0" w:color="auto"/>
                <w:bottom w:val="none" w:sz="0" w:space="0" w:color="auto"/>
                <w:right w:val="none" w:sz="0" w:space="0" w:color="auto"/>
              </w:divBdr>
            </w:div>
            <w:div w:id="1652640365">
              <w:marLeft w:val="0"/>
              <w:marRight w:val="0"/>
              <w:marTop w:val="0"/>
              <w:marBottom w:val="0"/>
              <w:divBdr>
                <w:top w:val="none" w:sz="0" w:space="0" w:color="auto"/>
                <w:left w:val="none" w:sz="0" w:space="0" w:color="auto"/>
                <w:bottom w:val="none" w:sz="0" w:space="0" w:color="auto"/>
                <w:right w:val="none" w:sz="0" w:space="0" w:color="auto"/>
              </w:divBdr>
            </w:div>
            <w:div w:id="1652640370">
              <w:marLeft w:val="0"/>
              <w:marRight w:val="0"/>
              <w:marTop w:val="0"/>
              <w:marBottom w:val="0"/>
              <w:divBdr>
                <w:top w:val="none" w:sz="0" w:space="0" w:color="auto"/>
                <w:left w:val="none" w:sz="0" w:space="0" w:color="auto"/>
                <w:bottom w:val="none" w:sz="0" w:space="0" w:color="auto"/>
                <w:right w:val="none" w:sz="0" w:space="0" w:color="auto"/>
              </w:divBdr>
            </w:div>
            <w:div w:id="16526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40368">
      <w:marLeft w:val="0"/>
      <w:marRight w:val="0"/>
      <w:marTop w:val="0"/>
      <w:marBottom w:val="0"/>
      <w:divBdr>
        <w:top w:val="none" w:sz="0" w:space="0" w:color="auto"/>
        <w:left w:val="none" w:sz="0" w:space="0" w:color="auto"/>
        <w:bottom w:val="none" w:sz="0" w:space="0" w:color="auto"/>
        <w:right w:val="none" w:sz="0" w:space="0" w:color="auto"/>
      </w:divBdr>
      <w:divsChild>
        <w:div w:id="1652640361">
          <w:marLeft w:val="0"/>
          <w:marRight w:val="0"/>
          <w:marTop w:val="0"/>
          <w:marBottom w:val="0"/>
          <w:divBdr>
            <w:top w:val="none" w:sz="0" w:space="0" w:color="auto"/>
            <w:left w:val="none" w:sz="0" w:space="0" w:color="auto"/>
            <w:bottom w:val="none" w:sz="0" w:space="0" w:color="auto"/>
            <w:right w:val="none" w:sz="0" w:space="0" w:color="auto"/>
          </w:divBdr>
          <w:divsChild>
            <w:div w:id="1652640350">
              <w:marLeft w:val="0"/>
              <w:marRight w:val="0"/>
              <w:marTop w:val="0"/>
              <w:marBottom w:val="0"/>
              <w:divBdr>
                <w:top w:val="none" w:sz="0" w:space="0" w:color="auto"/>
                <w:left w:val="none" w:sz="0" w:space="0" w:color="auto"/>
                <w:bottom w:val="none" w:sz="0" w:space="0" w:color="auto"/>
                <w:right w:val="none" w:sz="0" w:space="0" w:color="auto"/>
              </w:divBdr>
            </w:div>
            <w:div w:id="1652640351">
              <w:marLeft w:val="0"/>
              <w:marRight w:val="0"/>
              <w:marTop w:val="0"/>
              <w:marBottom w:val="0"/>
              <w:divBdr>
                <w:top w:val="none" w:sz="0" w:space="0" w:color="auto"/>
                <w:left w:val="none" w:sz="0" w:space="0" w:color="auto"/>
                <w:bottom w:val="none" w:sz="0" w:space="0" w:color="auto"/>
                <w:right w:val="none" w:sz="0" w:space="0" w:color="auto"/>
              </w:divBdr>
            </w:div>
            <w:div w:id="1652640352">
              <w:marLeft w:val="0"/>
              <w:marRight w:val="0"/>
              <w:marTop w:val="0"/>
              <w:marBottom w:val="0"/>
              <w:divBdr>
                <w:top w:val="none" w:sz="0" w:space="0" w:color="auto"/>
                <w:left w:val="none" w:sz="0" w:space="0" w:color="auto"/>
                <w:bottom w:val="none" w:sz="0" w:space="0" w:color="auto"/>
                <w:right w:val="none" w:sz="0" w:space="0" w:color="auto"/>
              </w:divBdr>
            </w:div>
            <w:div w:id="1652640354">
              <w:marLeft w:val="0"/>
              <w:marRight w:val="0"/>
              <w:marTop w:val="0"/>
              <w:marBottom w:val="0"/>
              <w:divBdr>
                <w:top w:val="none" w:sz="0" w:space="0" w:color="auto"/>
                <w:left w:val="none" w:sz="0" w:space="0" w:color="auto"/>
                <w:bottom w:val="none" w:sz="0" w:space="0" w:color="auto"/>
                <w:right w:val="none" w:sz="0" w:space="0" w:color="auto"/>
              </w:divBdr>
            </w:div>
            <w:div w:id="1652640362">
              <w:marLeft w:val="0"/>
              <w:marRight w:val="0"/>
              <w:marTop w:val="0"/>
              <w:marBottom w:val="0"/>
              <w:divBdr>
                <w:top w:val="none" w:sz="0" w:space="0" w:color="auto"/>
                <w:left w:val="none" w:sz="0" w:space="0" w:color="auto"/>
                <w:bottom w:val="none" w:sz="0" w:space="0" w:color="auto"/>
                <w:right w:val="none" w:sz="0" w:space="0" w:color="auto"/>
              </w:divBdr>
            </w:div>
            <w:div w:id="1652640366">
              <w:marLeft w:val="0"/>
              <w:marRight w:val="0"/>
              <w:marTop w:val="0"/>
              <w:marBottom w:val="0"/>
              <w:divBdr>
                <w:top w:val="none" w:sz="0" w:space="0" w:color="auto"/>
                <w:left w:val="none" w:sz="0" w:space="0" w:color="auto"/>
                <w:bottom w:val="none" w:sz="0" w:space="0" w:color="auto"/>
                <w:right w:val="none" w:sz="0" w:space="0" w:color="auto"/>
              </w:divBdr>
            </w:div>
            <w:div w:id="1652640367">
              <w:marLeft w:val="0"/>
              <w:marRight w:val="0"/>
              <w:marTop w:val="0"/>
              <w:marBottom w:val="0"/>
              <w:divBdr>
                <w:top w:val="none" w:sz="0" w:space="0" w:color="auto"/>
                <w:left w:val="none" w:sz="0" w:space="0" w:color="auto"/>
                <w:bottom w:val="none" w:sz="0" w:space="0" w:color="auto"/>
                <w:right w:val="none" w:sz="0" w:space="0" w:color="auto"/>
              </w:divBdr>
            </w:div>
            <w:div w:id="1652640369">
              <w:marLeft w:val="0"/>
              <w:marRight w:val="0"/>
              <w:marTop w:val="0"/>
              <w:marBottom w:val="0"/>
              <w:divBdr>
                <w:top w:val="none" w:sz="0" w:space="0" w:color="auto"/>
                <w:left w:val="none" w:sz="0" w:space="0" w:color="auto"/>
                <w:bottom w:val="none" w:sz="0" w:space="0" w:color="auto"/>
                <w:right w:val="none" w:sz="0" w:space="0" w:color="auto"/>
              </w:divBdr>
            </w:div>
            <w:div w:id="1652640371">
              <w:marLeft w:val="0"/>
              <w:marRight w:val="0"/>
              <w:marTop w:val="0"/>
              <w:marBottom w:val="0"/>
              <w:divBdr>
                <w:top w:val="none" w:sz="0" w:space="0" w:color="auto"/>
                <w:left w:val="none" w:sz="0" w:space="0" w:color="auto"/>
                <w:bottom w:val="none" w:sz="0" w:space="0" w:color="auto"/>
                <w:right w:val="none" w:sz="0" w:space="0" w:color="auto"/>
              </w:divBdr>
            </w:div>
            <w:div w:id="1652640378">
              <w:marLeft w:val="0"/>
              <w:marRight w:val="0"/>
              <w:marTop w:val="0"/>
              <w:marBottom w:val="0"/>
              <w:divBdr>
                <w:top w:val="none" w:sz="0" w:space="0" w:color="auto"/>
                <w:left w:val="none" w:sz="0" w:space="0" w:color="auto"/>
                <w:bottom w:val="none" w:sz="0" w:space="0" w:color="auto"/>
                <w:right w:val="none" w:sz="0" w:space="0" w:color="auto"/>
              </w:divBdr>
            </w:div>
            <w:div w:id="1652640379">
              <w:marLeft w:val="0"/>
              <w:marRight w:val="0"/>
              <w:marTop w:val="0"/>
              <w:marBottom w:val="0"/>
              <w:divBdr>
                <w:top w:val="none" w:sz="0" w:space="0" w:color="auto"/>
                <w:left w:val="none" w:sz="0" w:space="0" w:color="auto"/>
                <w:bottom w:val="none" w:sz="0" w:space="0" w:color="auto"/>
                <w:right w:val="none" w:sz="0" w:space="0" w:color="auto"/>
              </w:divBdr>
            </w:div>
            <w:div w:id="16526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4750">
      <w:bodyDiv w:val="1"/>
      <w:marLeft w:val="0"/>
      <w:marRight w:val="0"/>
      <w:marTop w:val="0"/>
      <w:marBottom w:val="0"/>
      <w:divBdr>
        <w:top w:val="none" w:sz="0" w:space="0" w:color="auto"/>
        <w:left w:val="none" w:sz="0" w:space="0" w:color="auto"/>
        <w:bottom w:val="none" w:sz="0" w:space="0" w:color="auto"/>
        <w:right w:val="none" w:sz="0" w:space="0" w:color="auto"/>
      </w:divBdr>
    </w:div>
    <w:div w:id="1685860564">
      <w:bodyDiv w:val="1"/>
      <w:marLeft w:val="0"/>
      <w:marRight w:val="0"/>
      <w:marTop w:val="0"/>
      <w:marBottom w:val="0"/>
      <w:divBdr>
        <w:top w:val="none" w:sz="0" w:space="0" w:color="auto"/>
        <w:left w:val="none" w:sz="0" w:space="0" w:color="auto"/>
        <w:bottom w:val="none" w:sz="0" w:space="0" w:color="auto"/>
        <w:right w:val="none" w:sz="0" w:space="0" w:color="auto"/>
      </w:divBdr>
      <w:divsChild>
        <w:div w:id="406389993">
          <w:marLeft w:val="0"/>
          <w:marRight w:val="0"/>
          <w:marTop w:val="0"/>
          <w:marBottom w:val="0"/>
          <w:divBdr>
            <w:top w:val="none" w:sz="0" w:space="0" w:color="auto"/>
            <w:left w:val="none" w:sz="0" w:space="0" w:color="auto"/>
            <w:bottom w:val="none" w:sz="0" w:space="0" w:color="auto"/>
            <w:right w:val="none" w:sz="0" w:space="0" w:color="auto"/>
          </w:divBdr>
          <w:divsChild>
            <w:div w:id="371929519">
              <w:marLeft w:val="0"/>
              <w:marRight w:val="0"/>
              <w:marTop w:val="0"/>
              <w:marBottom w:val="0"/>
              <w:divBdr>
                <w:top w:val="none" w:sz="0" w:space="0" w:color="auto"/>
                <w:left w:val="none" w:sz="0" w:space="0" w:color="auto"/>
                <w:bottom w:val="none" w:sz="0" w:space="0" w:color="auto"/>
                <w:right w:val="none" w:sz="0" w:space="0" w:color="auto"/>
              </w:divBdr>
              <w:divsChild>
                <w:div w:id="1262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6780">
      <w:bodyDiv w:val="1"/>
      <w:marLeft w:val="0"/>
      <w:marRight w:val="0"/>
      <w:marTop w:val="0"/>
      <w:marBottom w:val="0"/>
      <w:divBdr>
        <w:top w:val="none" w:sz="0" w:space="0" w:color="auto"/>
        <w:left w:val="none" w:sz="0" w:space="0" w:color="auto"/>
        <w:bottom w:val="none" w:sz="0" w:space="0" w:color="auto"/>
        <w:right w:val="none" w:sz="0" w:space="0" w:color="auto"/>
      </w:divBdr>
    </w:div>
    <w:div w:id="1696151714">
      <w:bodyDiv w:val="1"/>
      <w:marLeft w:val="0"/>
      <w:marRight w:val="0"/>
      <w:marTop w:val="0"/>
      <w:marBottom w:val="0"/>
      <w:divBdr>
        <w:top w:val="none" w:sz="0" w:space="0" w:color="auto"/>
        <w:left w:val="none" w:sz="0" w:space="0" w:color="auto"/>
        <w:bottom w:val="none" w:sz="0" w:space="0" w:color="auto"/>
        <w:right w:val="none" w:sz="0" w:space="0" w:color="auto"/>
      </w:divBdr>
    </w:div>
    <w:div w:id="1739862974">
      <w:bodyDiv w:val="1"/>
      <w:marLeft w:val="0"/>
      <w:marRight w:val="0"/>
      <w:marTop w:val="0"/>
      <w:marBottom w:val="0"/>
      <w:divBdr>
        <w:top w:val="none" w:sz="0" w:space="0" w:color="auto"/>
        <w:left w:val="none" w:sz="0" w:space="0" w:color="auto"/>
        <w:bottom w:val="none" w:sz="0" w:space="0" w:color="auto"/>
        <w:right w:val="none" w:sz="0" w:space="0" w:color="auto"/>
      </w:divBdr>
    </w:div>
    <w:div w:id="1789467497">
      <w:bodyDiv w:val="1"/>
      <w:marLeft w:val="0"/>
      <w:marRight w:val="0"/>
      <w:marTop w:val="0"/>
      <w:marBottom w:val="0"/>
      <w:divBdr>
        <w:top w:val="none" w:sz="0" w:space="0" w:color="auto"/>
        <w:left w:val="none" w:sz="0" w:space="0" w:color="auto"/>
        <w:bottom w:val="none" w:sz="0" w:space="0" w:color="auto"/>
        <w:right w:val="none" w:sz="0" w:space="0" w:color="auto"/>
      </w:divBdr>
    </w:div>
    <w:div w:id="1805387349">
      <w:bodyDiv w:val="1"/>
      <w:marLeft w:val="0"/>
      <w:marRight w:val="0"/>
      <w:marTop w:val="0"/>
      <w:marBottom w:val="0"/>
      <w:divBdr>
        <w:top w:val="none" w:sz="0" w:space="0" w:color="auto"/>
        <w:left w:val="none" w:sz="0" w:space="0" w:color="auto"/>
        <w:bottom w:val="none" w:sz="0" w:space="0" w:color="auto"/>
        <w:right w:val="none" w:sz="0" w:space="0" w:color="auto"/>
      </w:divBdr>
    </w:div>
    <w:div w:id="1837500696">
      <w:bodyDiv w:val="1"/>
      <w:marLeft w:val="0"/>
      <w:marRight w:val="0"/>
      <w:marTop w:val="0"/>
      <w:marBottom w:val="0"/>
      <w:divBdr>
        <w:top w:val="none" w:sz="0" w:space="0" w:color="auto"/>
        <w:left w:val="none" w:sz="0" w:space="0" w:color="auto"/>
        <w:bottom w:val="none" w:sz="0" w:space="0" w:color="auto"/>
        <w:right w:val="none" w:sz="0" w:space="0" w:color="auto"/>
      </w:divBdr>
      <w:divsChild>
        <w:div w:id="458379977">
          <w:marLeft w:val="446"/>
          <w:marRight w:val="0"/>
          <w:marTop w:val="0"/>
          <w:marBottom w:val="0"/>
          <w:divBdr>
            <w:top w:val="none" w:sz="0" w:space="0" w:color="auto"/>
            <w:left w:val="none" w:sz="0" w:space="0" w:color="auto"/>
            <w:bottom w:val="none" w:sz="0" w:space="0" w:color="auto"/>
            <w:right w:val="none" w:sz="0" w:space="0" w:color="auto"/>
          </w:divBdr>
        </w:div>
        <w:div w:id="1222599739">
          <w:marLeft w:val="446"/>
          <w:marRight w:val="0"/>
          <w:marTop w:val="0"/>
          <w:marBottom w:val="0"/>
          <w:divBdr>
            <w:top w:val="none" w:sz="0" w:space="0" w:color="auto"/>
            <w:left w:val="none" w:sz="0" w:space="0" w:color="auto"/>
            <w:bottom w:val="none" w:sz="0" w:space="0" w:color="auto"/>
            <w:right w:val="none" w:sz="0" w:space="0" w:color="auto"/>
          </w:divBdr>
        </w:div>
        <w:div w:id="1755008228">
          <w:marLeft w:val="446"/>
          <w:marRight w:val="0"/>
          <w:marTop w:val="0"/>
          <w:marBottom w:val="0"/>
          <w:divBdr>
            <w:top w:val="none" w:sz="0" w:space="0" w:color="auto"/>
            <w:left w:val="none" w:sz="0" w:space="0" w:color="auto"/>
            <w:bottom w:val="none" w:sz="0" w:space="0" w:color="auto"/>
            <w:right w:val="none" w:sz="0" w:space="0" w:color="auto"/>
          </w:divBdr>
        </w:div>
      </w:divsChild>
    </w:div>
    <w:div w:id="1842693263">
      <w:bodyDiv w:val="1"/>
      <w:marLeft w:val="0"/>
      <w:marRight w:val="0"/>
      <w:marTop w:val="0"/>
      <w:marBottom w:val="0"/>
      <w:divBdr>
        <w:top w:val="none" w:sz="0" w:space="0" w:color="auto"/>
        <w:left w:val="none" w:sz="0" w:space="0" w:color="auto"/>
        <w:bottom w:val="none" w:sz="0" w:space="0" w:color="auto"/>
        <w:right w:val="none" w:sz="0" w:space="0" w:color="auto"/>
      </w:divBdr>
    </w:div>
    <w:div w:id="1846162570">
      <w:bodyDiv w:val="1"/>
      <w:marLeft w:val="0"/>
      <w:marRight w:val="0"/>
      <w:marTop w:val="0"/>
      <w:marBottom w:val="0"/>
      <w:divBdr>
        <w:top w:val="none" w:sz="0" w:space="0" w:color="auto"/>
        <w:left w:val="none" w:sz="0" w:space="0" w:color="auto"/>
        <w:bottom w:val="none" w:sz="0" w:space="0" w:color="auto"/>
        <w:right w:val="none" w:sz="0" w:space="0" w:color="auto"/>
      </w:divBdr>
    </w:div>
    <w:div w:id="1952273773">
      <w:bodyDiv w:val="1"/>
      <w:marLeft w:val="0"/>
      <w:marRight w:val="0"/>
      <w:marTop w:val="0"/>
      <w:marBottom w:val="0"/>
      <w:divBdr>
        <w:top w:val="none" w:sz="0" w:space="0" w:color="auto"/>
        <w:left w:val="none" w:sz="0" w:space="0" w:color="auto"/>
        <w:bottom w:val="none" w:sz="0" w:space="0" w:color="auto"/>
        <w:right w:val="none" w:sz="0" w:space="0" w:color="auto"/>
      </w:divBdr>
    </w:div>
    <w:div w:id="1983539783">
      <w:bodyDiv w:val="1"/>
      <w:marLeft w:val="0"/>
      <w:marRight w:val="0"/>
      <w:marTop w:val="0"/>
      <w:marBottom w:val="0"/>
      <w:divBdr>
        <w:top w:val="none" w:sz="0" w:space="0" w:color="auto"/>
        <w:left w:val="none" w:sz="0" w:space="0" w:color="auto"/>
        <w:bottom w:val="none" w:sz="0" w:space="0" w:color="auto"/>
        <w:right w:val="none" w:sz="0" w:space="0" w:color="auto"/>
      </w:divBdr>
    </w:div>
    <w:div w:id="2128547203">
      <w:bodyDiv w:val="1"/>
      <w:marLeft w:val="0"/>
      <w:marRight w:val="0"/>
      <w:marTop w:val="0"/>
      <w:marBottom w:val="0"/>
      <w:divBdr>
        <w:top w:val="none" w:sz="0" w:space="0" w:color="auto"/>
        <w:left w:val="none" w:sz="0" w:space="0" w:color="auto"/>
        <w:bottom w:val="none" w:sz="0" w:space="0" w:color="auto"/>
        <w:right w:val="none" w:sz="0" w:space="0" w:color="auto"/>
      </w:divBdr>
      <w:divsChild>
        <w:div w:id="636836344">
          <w:marLeft w:val="446"/>
          <w:marRight w:val="0"/>
          <w:marTop w:val="0"/>
          <w:marBottom w:val="0"/>
          <w:divBdr>
            <w:top w:val="none" w:sz="0" w:space="0" w:color="auto"/>
            <w:left w:val="none" w:sz="0" w:space="0" w:color="auto"/>
            <w:bottom w:val="none" w:sz="0" w:space="0" w:color="auto"/>
            <w:right w:val="none" w:sz="0" w:space="0" w:color="auto"/>
          </w:divBdr>
        </w:div>
        <w:div w:id="864444519">
          <w:marLeft w:val="446"/>
          <w:marRight w:val="0"/>
          <w:marTop w:val="0"/>
          <w:marBottom w:val="0"/>
          <w:divBdr>
            <w:top w:val="none" w:sz="0" w:space="0" w:color="auto"/>
            <w:left w:val="none" w:sz="0" w:space="0" w:color="auto"/>
            <w:bottom w:val="none" w:sz="0" w:space="0" w:color="auto"/>
            <w:right w:val="none" w:sz="0" w:space="0" w:color="auto"/>
          </w:divBdr>
        </w:div>
        <w:div w:id="1377387648">
          <w:marLeft w:val="446"/>
          <w:marRight w:val="0"/>
          <w:marTop w:val="0"/>
          <w:marBottom w:val="0"/>
          <w:divBdr>
            <w:top w:val="none" w:sz="0" w:space="0" w:color="auto"/>
            <w:left w:val="none" w:sz="0" w:space="0" w:color="auto"/>
            <w:bottom w:val="none" w:sz="0" w:space="0" w:color="auto"/>
            <w:right w:val="none" w:sz="0" w:space="0" w:color="auto"/>
          </w:divBdr>
        </w:div>
        <w:div w:id="1512992692">
          <w:marLeft w:val="446"/>
          <w:marRight w:val="0"/>
          <w:marTop w:val="0"/>
          <w:marBottom w:val="0"/>
          <w:divBdr>
            <w:top w:val="none" w:sz="0" w:space="0" w:color="auto"/>
            <w:left w:val="none" w:sz="0" w:space="0" w:color="auto"/>
            <w:bottom w:val="none" w:sz="0" w:space="0" w:color="auto"/>
            <w:right w:val="none" w:sz="0" w:space="0" w:color="auto"/>
          </w:divBdr>
        </w:div>
        <w:div w:id="18591947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r.gov.uk/__data/assets/pdf_file/0004/19624/ORR-Decisi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r.gov.uk/__data/assets/pdf_file/0020/18902/saa-stobart-aga-southend-airport-station-letter.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chienencontrol.gv.at/de/ver&#246;ffentlichunge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ashimmel\Documents\Diagramm%20f&#252;r%20IRG_Rail%20Charges%20for%20S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AT" sz="1200"/>
              <a:t>Number of marshalling yards with gravity hills per country</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Tabelle1!$A$4:$A$18</c:f>
              <c:strCache>
                <c:ptCount val="15"/>
                <c:pt idx="0">
                  <c:v>Italy</c:v>
                </c:pt>
                <c:pt idx="1">
                  <c:v>Norway</c:v>
                </c:pt>
                <c:pt idx="2">
                  <c:v>Portugal</c:v>
                </c:pt>
                <c:pt idx="3">
                  <c:v>Spain</c:v>
                </c:pt>
                <c:pt idx="4">
                  <c:v>UK</c:v>
                </c:pt>
                <c:pt idx="5">
                  <c:v>Belgium</c:v>
                </c:pt>
                <c:pt idx="6">
                  <c:v>Croatia</c:v>
                </c:pt>
                <c:pt idx="7">
                  <c:v>Slovenia</c:v>
                </c:pt>
                <c:pt idx="8">
                  <c:v>The Netherlands</c:v>
                </c:pt>
                <c:pt idx="9">
                  <c:v>Finalnd</c:v>
                </c:pt>
                <c:pt idx="10">
                  <c:v>France</c:v>
                </c:pt>
                <c:pt idx="11">
                  <c:v>Austria</c:v>
                </c:pt>
                <c:pt idx="12">
                  <c:v>Sweden</c:v>
                </c:pt>
                <c:pt idx="13">
                  <c:v>Poland</c:v>
                </c:pt>
                <c:pt idx="14">
                  <c:v>Germany</c:v>
                </c:pt>
              </c:strCache>
            </c:strRef>
          </c:cat>
          <c:val>
            <c:numRef>
              <c:f>Tabelle1!$B$4:$B$18</c:f>
              <c:numCache>
                <c:formatCode>General</c:formatCode>
                <c:ptCount val="15"/>
                <c:pt idx="0">
                  <c:v>0</c:v>
                </c:pt>
                <c:pt idx="1">
                  <c:v>0</c:v>
                </c:pt>
                <c:pt idx="2">
                  <c:v>0</c:v>
                </c:pt>
                <c:pt idx="3">
                  <c:v>0</c:v>
                </c:pt>
                <c:pt idx="4">
                  <c:v>0</c:v>
                </c:pt>
                <c:pt idx="5">
                  <c:v>1</c:v>
                </c:pt>
                <c:pt idx="6">
                  <c:v>1</c:v>
                </c:pt>
                <c:pt idx="7">
                  <c:v>1</c:v>
                </c:pt>
                <c:pt idx="8">
                  <c:v>1</c:v>
                </c:pt>
                <c:pt idx="9">
                  <c:v>2</c:v>
                </c:pt>
                <c:pt idx="10">
                  <c:v>5</c:v>
                </c:pt>
                <c:pt idx="11">
                  <c:v>8</c:v>
                </c:pt>
                <c:pt idx="12">
                  <c:v>13</c:v>
                </c:pt>
                <c:pt idx="13">
                  <c:v>30</c:v>
                </c:pt>
                <c:pt idx="14">
                  <c:v>73</c:v>
                </c:pt>
              </c:numCache>
            </c:numRef>
          </c:val>
          <c:extLst xmlns:c16r2="http://schemas.microsoft.com/office/drawing/2015/06/chart">
            <c:ext xmlns:c16="http://schemas.microsoft.com/office/drawing/2014/chart" uri="{C3380CC4-5D6E-409C-BE32-E72D297353CC}">
              <c16:uniqueId val="{00000000-B7D7-4014-A78E-5D38A3C45CC1}"/>
            </c:ext>
          </c:extLst>
        </c:ser>
        <c:dLbls>
          <c:showLegendKey val="0"/>
          <c:showVal val="0"/>
          <c:showCatName val="0"/>
          <c:showSerName val="0"/>
          <c:showPercent val="0"/>
          <c:showBubbleSize val="0"/>
        </c:dLbls>
        <c:gapWidth val="219"/>
        <c:overlap val="-27"/>
        <c:axId val="67431424"/>
        <c:axId val="74629888"/>
      </c:barChart>
      <c:catAx>
        <c:axId val="6743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629888"/>
        <c:crosses val="autoZero"/>
        <c:auto val="1"/>
        <c:lblAlgn val="ctr"/>
        <c:lblOffset val="100"/>
        <c:noMultiLvlLbl val="0"/>
      </c:catAx>
      <c:valAx>
        <c:axId val="74629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31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2618-9AC1-4DA6-A48E-5FDE48BD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9018</Words>
  <Characters>50558</Characters>
  <Application>Microsoft Office Word</Application>
  <DocSecurity>0</DocSecurity>
  <Lines>421</Lines>
  <Paragraphs>118</Paragraphs>
  <ScaleCrop>false</ScaleCrop>
  <HeadingPairs>
    <vt:vector size="8" baseType="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LinksUpToDate>false</LinksUpToDate>
  <CharactersWithSpaces>59458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2017-11-30T17:48:00Z</dcterms:created>
  <dcterms:modified xsi:type="dcterms:W3CDTF">2017-12-11T11:00:00Z</dcterms:modified>
</cp:coreProperties>
</file>